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422"/>
        <w:gridCol w:w="7655"/>
      </w:tblGrid>
      <w:tr w:rsidR="0094424E">
        <w:trPr>
          <w:jc w:val="center"/>
        </w:trPr>
        <w:tc>
          <w:tcPr>
            <w:tcW w:w="743" w:type="dxa"/>
          </w:tcPr>
          <w:p w:rsidR="0094424E" w:rsidRPr="005D4AC5" w:rsidRDefault="0094424E" w:rsidP="00D44968">
            <w:pPr>
              <w:suppressLineNumbers/>
              <w:jc w:val="both"/>
              <w:rPr>
                <w:rFonts w:ascii="Arial" w:hAnsi="Arial"/>
                <w:b/>
                <w:bCs/>
                <w:rtl/>
              </w:rPr>
            </w:pPr>
            <w:r>
              <w:rPr>
                <w:rtl/>
              </w:rPr>
              <w:t xml:space="preserve"> </w:t>
            </w:r>
            <w:r w:rsidR="00064651" w:rsidRPr="005D4AC5">
              <w:rPr>
                <w:rFonts w:ascii="Arial" w:hAnsi="Arial" w:hint="cs"/>
                <w:b/>
                <w:bCs/>
                <w:rtl/>
              </w:rPr>
              <w:t>ל</w:t>
            </w:r>
            <w:r w:rsidRPr="005D4AC5">
              <w:rPr>
                <w:rFonts w:ascii="Arial" w:hAnsi="Arial"/>
                <w:b/>
                <w:bCs/>
                <w:rtl/>
              </w:rPr>
              <w:t xml:space="preserve">פני </w:t>
            </w:r>
          </w:p>
        </w:tc>
        <w:tc>
          <w:tcPr>
            <w:tcW w:w="8077" w:type="dxa"/>
            <w:gridSpan w:val="2"/>
          </w:tcPr>
          <w:p w:rsidR="0094424E" w:rsidRPr="005D4AC5" w:rsidRDefault="000529D2" w:rsidP="00D44968">
            <w:pPr>
              <w:suppressLineNumbers/>
              <w:rPr>
                <w:rFonts w:ascii="Arial" w:hAnsi="Arial"/>
                <w:b/>
                <w:bCs/>
                <w:rtl/>
              </w:rPr>
            </w:pPr>
            <w:r w:rsidRPr="005D4AC5">
              <w:rPr>
                <w:rFonts w:ascii="Arial" w:hAnsi="Arial" w:hint="cs"/>
                <w:b/>
                <w:bCs/>
                <w:rtl/>
              </w:rPr>
              <w:t>כבוד</w:t>
            </w:r>
            <w:r w:rsidR="0094424E" w:rsidRPr="005D4AC5">
              <w:rPr>
                <w:rFonts w:ascii="Arial" w:hAnsi="Arial" w:hint="cs"/>
                <w:b/>
                <w:bCs/>
                <w:rtl/>
              </w:rPr>
              <w:t xml:space="preserve"> ה</w:t>
            </w:r>
            <w:r w:rsidRPr="005D4AC5">
              <w:rPr>
                <w:rFonts w:ascii="Arial" w:hAnsi="Arial"/>
                <w:b/>
                <w:bCs/>
                <w:rtl/>
              </w:rPr>
              <w:t>שופטת</w:t>
            </w:r>
            <w:r w:rsidR="0094424E" w:rsidRPr="005D4AC5">
              <w:rPr>
                <w:rFonts w:ascii="Arial" w:hAnsi="Arial" w:hint="cs"/>
                <w:b/>
                <w:bCs/>
                <w:rtl/>
              </w:rPr>
              <w:t xml:space="preserve">  </w:t>
            </w:r>
            <w:r w:rsidRPr="005D4AC5">
              <w:rPr>
                <w:rFonts w:ascii="Arial" w:hAnsi="Arial"/>
                <w:b/>
                <w:bCs/>
                <w:rtl/>
              </w:rPr>
              <w:t>הילה אוחיון גליקסמן</w:t>
            </w:r>
          </w:p>
          <w:p w:rsidR="0094424E" w:rsidRPr="005D4AC5" w:rsidRDefault="0094424E" w:rsidP="00D44968">
            <w:pPr>
              <w:suppressLineNumbers/>
              <w:rPr>
                <w:rFonts w:ascii="Arial" w:hAnsi="Arial" w:cs="FrankRuehl"/>
                <w:highlight w:val="yellow"/>
              </w:rPr>
            </w:pPr>
          </w:p>
        </w:tc>
      </w:tr>
      <w:tr w:rsidR="0094424E" w:rsidTr="005D4AC5">
        <w:trPr>
          <w:jc w:val="center"/>
        </w:trPr>
        <w:tc>
          <w:tcPr>
            <w:tcW w:w="1165" w:type="dxa"/>
            <w:gridSpan w:val="2"/>
          </w:tcPr>
          <w:p w:rsidR="0094424E" w:rsidRPr="005D4AC5" w:rsidRDefault="0094424E" w:rsidP="00D44968">
            <w:pPr>
              <w:suppressLineNumbers/>
              <w:rPr>
                <w:rFonts w:ascii="Arial" w:hAnsi="Arial"/>
                <w:b/>
                <w:bCs/>
                <w:noProof w:val="0"/>
              </w:rPr>
            </w:pPr>
          </w:p>
          <w:p w:rsidR="00C15DEC" w:rsidRPr="005D4AC5" w:rsidRDefault="005D4AC5" w:rsidP="005D4AC5">
            <w:pPr>
              <w:suppressLineNumbers/>
              <w:rPr>
                <w:rFonts w:ascii="Arial" w:hAnsi="Arial"/>
                <w:b/>
                <w:bCs/>
                <w:noProof w:val="0"/>
                <w:rtl/>
              </w:rPr>
            </w:pPr>
            <w:r w:rsidRPr="005D4AC5">
              <w:rPr>
                <w:rFonts w:ascii="Arial" w:hAnsi="Arial" w:hint="cs"/>
                <w:b/>
                <w:bCs/>
                <w:noProof w:val="0"/>
                <w:rtl/>
              </w:rPr>
              <w:t>תובעת</w:t>
            </w:r>
          </w:p>
        </w:tc>
        <w:tc>
          <w:tcPr>
            <w:tcW w:w="7655" w:type="dxa"/>
          </w:tcPr>
          <w:p w:rsidR="0094424E" w:rsidRPr="005D4AC5" w:rsidRDefault="0094424E" w:rsidP="00D44968">
            <w:pPr>
              <w:suppressLineNumbers/>
              <w:rPr>
                <w:rFonts w:ascii="Arial" w:hAnsi="Arial"/>
                <w:b/>
                <w:bCs/>
                <w:noProof w:val="0"/>
                <w:rtl/>
              </w:rPr>
            </w:pPr>
          </w:p>
          <w:p w:rsidR="0094424E" w:rsidRPr="005D4AC5" w:rsidRDefault="00064651" w:rsidP="00986C5C">
            <w:pPr>
              <w:suppressLineNumbers/>
              <w:tabs>
                <w:tab w:val="left" w:pos="3435"/>
              </w:tabs>
              <w:rPr>
                <w:rFonts w:ascii="Arial" w:hAnsi="Arial"/>
                <w:b/>
                <w:bCs/>
                <w:noProof w:val="0"/>
                <w:rtl/>
              </w:rPr>
            </w:pPr>
            <w:r w:rsidRPr="005D4AC5">
              <w:rPr>
                <w:rFonts w:ascii="Arial" w:hAnsi="Arial"/>
                <w:b/>
                <w:bCs/>
                <w:noProof w:val="0"/>
                <w:rtl/>
              </w:rPr>
              <w:t>ר</w:t>
            </w:r>
            <w:r w:rsidR="00986C5C">
              <w:rPr>
                <w:rFonts w:ascii="Arial" w:hAnsi="Arial" w:hint="cs"/>
                <w:b/>
                <w:bCs/>
                <w:noProof w:val="0"/>
                <w:rtl/>
              </w:rPr>
              <w:t xml:space="preserve">. כ. </w:t>
            </w:r>
            <w:r w:rsidRPr="005D4AC5">
              <w:rPr>
                <w:rFonts w:ascii="Arial" w:hAnsi="Arial" w:hint="eastAsia"/>
                <w:b/>
                <w:bCs/>
                <w:noProof w:val="0"/>
                <w:rtl/>
              </w:rPr>
              <w:t>ת"ז</w:t>
            </w:r>
            <w:r w:rsidR="00E54CD9" w:rsidRPr="005D4AC5">
              <w:rPr>
                <w:rFonts w:ascii="Arial" w:hAnsi="Arial" w:hint="cs"/>
                <w:b/>
                <w:bCs/>
                <w:noProof w:val="0"/>
                <w:rtl/>
              </w:rPr>
              <w:t xml:space="preserve"> </w:t>
            </w:r>
            <w:r w:rsidR="00E54CD9" w:rsidRPr="005D4AC5">
              <w:rPr>
                <w:rFonts w:ascii="Arial" w:hAnsi="Arial"/>
                <w:b/>
                <w:bCs/>
                <w:noProof w:val="0"/>
                <w:rtl/>
              </w:rPr>
              <w:t xml:space="preserve"> </w:t>
            </w:r>
            <w:r w:rsidR="00986C5C">
              <w:rPr>
                <w:rFonts w:ascii="Arial" w:hAnsi="Arial" w:hint="cs"/>
                <w:b/>
                <w:bCs/>
                <w:noProof w:val="0"/>
              </w:rPr>
              <w:t>XXX</w:t>
            </w:r>
            <w:r w:rsidR="005D4AC5" w:rsidRPr="005D4AC5">
              <w:rPr>
                <w:rFonts w:ascii="Arial" w:hAnsi="Arial"/>
                <w:b/>
                <w:bCs/>
                <w:noProof w:val="0"/>
                <w:rtl/>
              </w:rPr>
              <w:tab/>
            </w:r>
          </w:p>
          <w:p w:rsidR="005D4AC5" w:rsidRPr="005D4AC5" w:rsidRDefault="005D4AC5" w:rsidP="005D4AC5">
            <w:pPr>
              <w:suppressLineNumbers/>
              <w:tabs>
                <w:tab w:val="left" w:pos="3435"/>
              </w:tabs>
              <w:rPr>
                <w:b/>
                <w:bCs/>
                <w:noProof w:val="0"/>
              </w:rPr>
            </w:pPr>
            <w:r w:rsidRPr="005D4AC5">
              <w:rPr>
                <w:rFonts w:hint="cs"/>
                <w:b/>
                <w:bCs/>
                <w:noProof w:val="0"/>
                <w:rtl/>
              </w:rPr>
              <w:t xml:space="preserve">ע"י </w:t>
            </w:r>
            <w:r w:rsidR="004A78B2">
              <w:rPr>
                <w:rFonts w:hint="cs"/>
                <w:b/>
                <w:bCs/>
                <w:noProof w:val="0"/>
                <w:rtl/>
              </w:rPr>
              <w:t xml:space="preserve">ב"כ </w:t>
            </w:r>
            <w:r w:rsidRPr="005D4AC5">
              <w:rPr>
                <w:rFonts w:hint="cs"/>
                <w:b/>
                <w:bCs/>
                <w:noProof w:val="0"/>
                <w:rtl/>
              </w:rPr>
              <w:t>עו"ד אירית שר</w:t>
            </w:r>
          </w:p>
        </w:tc>
      </w:tr>
      <w:tr w:rsidR="0094424E">
        <w:trPr>
          <w:jc w:val="center"/>
        </w:trPr>
        <w:tc>
          <w:tcPr>
            <w:tcW w:w="8820" w:type="dxa"/>
            <w:gridSpan w:val="3"/>
          </w:tcPr>
          <w:p w:rsidR="0094424E" w:rsidRPr="005D4AC5" w:rsidRDefault="0094424E" w:rsidP="00D44968">
            <w:pPr>
              <w:suppressLineNumbers/>
              <w:rPr>
                <w:rFonts w:ascii="Arial" w:hAnsi="Arial"/>
                <w:b/>
                <w:bCs/>
                <w:noProof w:val="0"/>
                <w:rtl/>
              </w:rPr>
            </w:pPr>
          </w:p>
          <w:p w:rsidR="0094424E" w:rsidRPr="005D4AC5" w:rsidRDefault="0094424E" w:rsidP="00D44968">
            <w:pPr>
              <w:suppressLineNumbers/>
              <w:jc w:val="center"/>
              <w:rPr>
                <w:rFonts w:ascii="Arial" w:hAnsi="Arial"/>
                <w:b/>
                <w:bCs/>
                <w:noProof w:val="0"/>
                <w:rtl/>
              </w:rPr>
            </w:pPr>
            <w:r w:rsidRPr="005D4AC5">
              <w:rPr>
                <w:rFonts w:ascii="Arial" w:hAnsi="Arial"/>
                <w:b/>
                <w:bCs/>
                <w:noProof w:val="0"/>
                <w:rtl/>
              </w:rPr>
              <w:t>נגד</w:t>
            </w:r>
          </w:p>
          <w:p w:rsidR="0094424E" w:rsidRPr="005D4AC5" w:rsidRDefault="0094424E" w:rsidP="00D44968">
            <w:pPr>
              <w:suppressLineNumbers/>
              <w:rPr>
                <w:rFonts w:ascii="Arial" w:hAnsi="Arial"/>
                <w:b/>
                <w:bCs/>
                <w:noProof w:val="0"/>
              </w:rPr>
            </w:pPr>
          </w:p>
        </w:tc>
      </w:tr>
      <w:tr w:rsidR="0094424E" w:rsidTr="005D4AC5">
        <w:trPr>
          <w:jc w:val="center"/>
        </w:trPr>
        <w:tc>
          <w:tcPr>
            <w:tcW w:w="1165" w:type="dxa"/>
            <w:gridSpan w:val="2"/>
          </w:tcPr>
          <w:p w:rsidR="0094424E" w:rsidRPr="005D4AC5" w:rsidRDefault="00064651" w:rsidP="00D44968">
            <w:pPr>
              <w:suppressLineNumbers/>
              <w:rPr>
                <w:rFonts w:ascii="Arial" w:hAnsi="Arial"/>
                <w:b/>
                <w:bCs/>
                <w:noProof w:val="0"/>
              </w:rPr>
            </w:pPr>
            <w:r w:rsidRPr="005D4AC5">
              <w:rPr>
                <w:rFonts w:ascii="Arial" w:hAnsi="Arial"/>
                <w:b/>
                <w:bCs/>
                <w:noProof w:val="0"/>
                <w:rtl/>
              </w:rPr>
              <w:t>נתבעים</w:t>
            </w:r>
          </w:p>
        </w:tc>
        <w:tc>
          <w:tcPr>
            <w:tcW w:w="7655" w:type="dxa"/>
          </w:tcPr>
          <w:p w:rsidR="0094424E" w:rsidRPr="005D4AC5" w:rsidRDefault="00064651" w:rsidP="00986C5C">
            <w:pPr>
              <w:suppressLineNumbers/>
              <w:rPr>
                <w:rFonts w:ascii="Arial" w:hAnsi="Arial"/>
                <w:b/>
                <w:bCs/>
                <w:noProof w:val="0"/>
                <w:rtl/>
              </w:rPr>
            </w:pPr>
            <w:r w:rsidRPr="005D4AC5">
              <w:rPr>
                <w:rFonts w:ascii="Arial" w:hAnsi="Arial"/>
                <w:b/>
                <w:bCs/>
                <w:noProof w:val="0"/>
                <w:rtl/>
              </w:rPr>
              <w:t>1</w:t>
            </w:r>
            <w:r w:rsidR="0094424E" w:rsidRPr="005D4AC5">
              <w:rPr>
                <w:rFonts w:ascii="Arial" w:hAnsi="Arial"/>
                <w:b/>
                <w:bCs/>
                <w:noProof w:val="0"/>
                <w:rtl/>
              </w:rPr>
              <w:t>.</w:t>
            </w:r>
            <w:r w:rsidR="0094424E" w:rsidRPr="005D4AC5">
              <w:rPr>
                <w:rFonts w:ascii="Arial" w:hAnsi="Arial" w:hint="cs"/>
                <w:b/>
                <w:bCs/>
                <w:noProof w:val="0"/>
                <w:rtl/>
              </w:rPr>
              <w:t xml:space="preserve"> </w:t>
            </w:r>
            <w:r w:rsidR="00986C5C">
              <w:rPr>
                <w:rFonts w:ascii="Arial" w:hAnsi="Arial" w:hint="cs"/>
                <w:b/>
                <w:bCs/>
                <w:noProof w:val="0"/>
                <w:rtl/>
              </w:rPr>
              <w:t>מ.כ.</w:t>
            </w:r>
            <w:r w:rsidR="00E54CD9" w:rsidRPr="005D4AC5">
              <w:rPr>
                <w:rFonts w:hint="cs"/>
                <w:rtl/>
              </w:rPr>
              <w:t xml:space="preserve"> </w:t>
            </w:r>
            <w:r w:rsidRPr="005D4AC5">
              <w:rPr>
                <w:rFonts w:ascii="Arial" w:hAnsi="Arial" w:hint="eastAsia"/>
                <w:b/>
                <w:bCs/>
                <w:noProof w:val="0"/>
                <w:rtl/>
              </w:rPr>
              <w:t>ת"ז</w:t>
            </w:r>
            <w:r w:rsidR="00E54CD9" w:rsidRPr="005D4AC5">
              <w:rPr>
                <w:rFonts w:ascii="Arial" w:hAnsi="Arial" w:hint="cs"/>
                <w:b/>
                <w:bCs/>
                <w:noProof w:val="0"/>
                <w:rtl/>
              </w:rPr>
              <w:t xml:space="preserve"> </w:t>
            </w:r>
            <w:r w:rsidR="00986C5C">
              <w:rPr>
                <w:rFonts w:ascii="Arial" w:hAnsi="Arial" w:hint="cs"/>
                <w:b/>
                <w:bCs/>
                <w:noProof w:val="0"/>
              </w:rPr>
              <w:t xml:space="preserve">XXX </w:t>
            </w:r>
          </w:p>
          <w:p w:rsidR="0094424E" w:rsidRPr="005D4AC5" w:rsidRDefault="00064651" w:rsidP="00986C5C">
            <w:pPr>
              <w:suppressLineNumbers/>
              <w:rPr>
                <w:rFonts w:ascii="Arial" w:hAnsi="Arial"/>
                <w:b/>
                <w:bCs/>
                <w:noProof w:val="0"/>
                <w:rtl/>
              </w:rPr>
            </w:pPr>
            <w:r w:rsidRPr="005D4AC5">
              <w:rPr>
                <w:rFonts w:ascii="Arial" w:hAnsi="Arial"/>
                <w:b/>
                <w:bCs/>
                <w:noProof w:val="0"/>
                <w:rtl/>
              </w:rPr>
              <w:t>2</w:t>
            </w:r>
            <w:r w:rsidR="0094424E" w:rsidRPr="005D4AC5">
              <w:rPr>
                <w:rFonts w:ascii="Arial" w:hAnsi="Arial"/>
                <w:b/>
                <w:bCs/>
                <w:noProof w:val="0"/>
                <w:rtl/>
              </w:rPr>
              <w:t>.</w:t>
            </w:r>
            <w:r w:rsidR="0094424E" w:rsidRPr="005D4AC5">
              <w:rPr>
                <w:rFonts w:ascii="Arial" w:hAnsi="Arial" w:hint="cs"/>
                <w:b/>
                <w:bCs/>
                <w:noProof w:val="0"/>
                <w:rtl/>
              </w:rPr>
              <w:t xml:space="preserve"> </w:t>
            </w:r>
            <w:r w:rsidR="005D4AC5" w:rsidRPr="005D4AC5">
              <w:rPr>
                <w:rFonts w:ascii="Arial" w:hAnsi="Arial" w:hint="cs"/>
                <w:b/>
                <w:bCs/>
                <w:noProof w:val="0"/>
                <w:rtl/>
              </w:rPr>
              <w:t xml:space="preserve">עו"ד </w:t>
            </w:r>
            <w:proofErr w:type="spellStart"/>
            <w:r w:rsidR="00986C5C">
              <w:rPr>
                <w:rFonts w:ascii="Arial" w:hAnsi="Arial" w:hint="cs"/>
                <w:b/>
                <w:bCs/>
                <w:noProof w:val="0"/>
                <w:rtl/>
              </w:rPr>
              <w:t>מ.ה.מ</w:t>
            </w:r>
            <w:proofErr w:type="spellEnd"/>
            <w:r w:rsidR="005D4AC5" w:rsidRPr="005D4AC5">
              <w:rPr>
                <w:rFonts w:ascii="Arial" w:hAnsi="Arial" w:hint="cs"/>
                <w:b/>
                <w:bCs/>
                <w:noProof w:val="0"/>
                <w:rtl/>
              </w:rPr>
              <w:t xml:space="preserve"> (נאמן על נכסי הנתבע 1 בתיק </w:t>
            </w:r>
            <w:proofErr w:type="spellStart"/>
            <w:r w:rsidR="005D4AC5" w:rsidRPr="005D4AC5">
              <w:rPr>
                <w:rFonts w:ascii="Arial" w:hAnsi="Arial" w:hint="cs"/>
                <w:b/>
                <w:bCs/>
                <w:noProof w:val="0"/>
                <w:rtl/>
              </w:rPr>
              <w:t>חדל"פ</w:t>
            </w:r>
            <w:proofErr w:type="spellEnd"/>
            <w:r w:rsidR="005D4AC5" w:rsidRPr="005D4AC5">
              <w:rPr>
                <w:rFonts w:ascii="Arial" w:hAnsi="Arial" w:hint="cs"/>
                <w:b/>
                <w:bCs/>
                <w:noProof w:val="0"/>
                <w:rtl/>
              </w:rPr>
              <w:t xml:space="preserve"> </w:t>
            </w:r>
            <w:r w:rsidR="00986C5C">
              <w:rPr>
                <w:rFonts w:ascii="Arial" w:hAnsi="Arial" w:hint="cs"/>
                <w:b/>
                <w:bCs/>
                <w:noProof w:val="0"/>
              </w:rPr>
              <w:t>XXX</w:t>
            </w:r>
            <w:r w:rsidR="005D4AC5">
              <w:rPr>
                <w:rFonts w:ascii="Arial" w:hAnsi="Arial" w:hint="cs"/>
                <w:b/>
                <w:bCs/>
                <w:noProof w:val="0"/>
                <w:rtl/>
              </w:rPr>
              <w:t>)</w:t>
            </w:r>
            <w:r w:rsidR="005D4AC5" w:rsidRPr="005D4AC5">
              <w:rPr>
                <w:rFonts w:ascii="Arial" w:hAnsi="Arial"/>
                <w:b/>
                <w:bCs/>
                <w:noProof w:val="0"/>
                <w:rtl/>
              </w:rPr>
              <w:br/>
            </w:r>
            <w:r w:rsidR="005D4AC5">
              <w:rPr>
                <w:rFonts w:ascii="Arial" w:hAnsi="Arial" w:hint="cs"/>
                <w:b/>
                <w:bCs/>
                <w:noProof w:val="0"/>
                <w:rtl/>
              </w:rPr>
              <w:t xml:space="preserve">    </w:t>
            </w:r>
            <w:r w:rsidR="005D4AC5" w:rsidRPr="005D4AC5">
              <w:rPr>
                <w:rFonts w:ascii="Arial" w:hAnsi="Arial" w:hint="cs"/>
                <w:b/>
                <w:bCs/>
                <w:noProof w:val="0"/>
                <w:rtl/>
              </w:rPr>
              <w:t xml:space="preserve">ע"י ב"כ </w:t>
            </w:r>
            <w:r w:rsidR="005D4AC5" w:rsidRPr="005D4AC5">
              <w:rPr>
                <w:rFonts w:ascii="Arial" w:hAnsi="Arial"/>
                <w:b/>
                <w:bCs/>
                <w:noProof w:val="0"/>
                <w:rtl/>
              </w:rPr>
              <w:t xml:space="preserve">עו"ד חנן עזרן </w:t>
            </w:r>
          </w:p>
        </w:tc>
      </w:tr>
    </w:tbl>
    <w:p w:rsidR="0094424E" w:rsidRDefault="0094424E" w:rsidP="00D44968">
      <w:pPr>
        <w:suppressLineNumbers/>
        <w:rPr>
          <w:rtl/>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rsidRPr="00DE1E7D">
        <w:trPr>
          <w:jc w:val="center"/>
        </w:trPr>
        <w:tc>
          <w:tcPr>
            <w:tcW w:w="8820" w:type="dxa"/>
          </w:tcPr>
          <w:p w:rsidR="00694556" w:rsidRDefault="00180519">
            <w:pPr>
              <w:bidi w:val="0"/>
              <w:jc w:val="center"/>
              <w:rPr>
                <w:rFonts w:ascii="Arial" w:hAnsi="Arial"/>
                <w:b/>
                <w:bCs/>
                <w:noProof w:val="0"/>
                <w:sz w:val="28"/>
                <w:szCs w:val="28"/>
                <w:u w:val="single"/>
                <w:rtl/>
              </w:rPr>
            </w:pPr>
            <w:r w:rsidRPr="00D44968">
              <w:rPr>
                <w:rFonts w:ascii="Arial" w:hAnsi="Arial" w:hint="cs"/>
                <w:b/>
                <w:bCs/>
                <w:noProof w:val="0"/>
                <w:sz w:val="28"/>
                <w:szCs w:val="28"/>
                <w:u w:val="single"/>
                <w:rtl/>
              </w:rPr>
              <w:t>החלטה</w:t>
            </w:r>
          </w:p>
          <w:p w:rsidR="00D44968" w:rsidRPr="00D44968" w:rsidRDefault="00D44968" w:rsidP="00D44968">
            <w:pPr>
              <w:bidi w:val="0"/>
              <w:jc w:val="center"/>
              <w:rPr>
                <w:rFonts w:ascii="Arial" w:hAnsi="Arial"/>
                <w:b/>
                <w:bCs/>
                <w:noProof w:val="0"/>
                <w:sz w:val="28"/>
                <w:szCs w:val="28"/>
                <w:u w:val="single"/>
              </w:rPr>
            </w:pPr>
          </w:p>
        </w:tc>
      </w:tr>
    </w:tbl>
    <w:p w:rsidR="004A78B2" w:rsidRDefault="004A78B2" w:rsidP="004A78B2">
      <w:pPr>
        <w:spacing w:line="360" w:lineRule="auto"/>
        <w:jc w:val="both"/>
        <w:rPr>
          <w:rFonts w:ascii="David" w:hAnsi="David"/>
          <w:b/>
          <w:bCs/>
          <w:noProof w:val="0"/>
        </w:rPr>
      </w:pPr>
      <w:bookmarkStart w:id="0" w:name="NGCSBookmark"/>
      <w:bookmarkEnd w:id="0"/>
      <w:r>
        <w:rPr>
          <w:rFonts w:ascii="David" w:hAnsi="David"/>
          <w:b/>
          <w:bCs/>
          <w:rtl/>
        </w:rPr>
        <w:t xml:space="preserve">בפני בקשה למחיקת תובענה למתן סעד הצהרתי בעניין בעלות התובעת בדירה, על יסוד הסכם טרום נישואין שנערך בשנת 1993 בין התובעת לנתבע 1, לאחר שהתברר כי בשנת 2020 ניתן תוקף של פסק דין להסכם ממון מאוחר שנערך בין הצדדים, במסגרתו הועברה הבעלות בדירה לידי התובעת. </w:t>
      </w:r>
    </w:p>
    <w:p w:rsidR="004A78B2" w:rsidRDefault="004A78B2" w:rsidP="004A78B2">
      <w:pPr>
        <w:spacing w:line="360" w:lineRule="auto"/>
        <w:jc w:val="both"/>
        <w:rPr>
          <w:rFonts w:ascii="David" w:hAnsi="David"/>
          <w:b/>
          <w:bCs/>
          <w:noProof w:val="0"/>
          <w:rtl/>
        </w:rPr>
      </w:pPr>
    </w:p>
    <w:p w:rsidR="004A78B2" w:rsidRDefault="004A78B2" w:rsidP="004A78B2">
      <w:pPr>
        <w:spacing w:line="360" w:lineRule="auto"/>
        <w:rPr>
          <w:rFonts w:ascii="David" w:hAnsi="David"/>
          <w:b/>
          <w:bCs/>
          <w:u w:val="single"/>
        </w:rPr>
      </w:pPr>
      <w:r>
        <w:rPr>
          <w:rFonts w:ascii="David" w:hAnsi="David"/>
          <w:b/>
          <w:bCs/>
          <w:u w:val="single"/>
          <w:rtl/>
        </w:rPr>
        <w:t>העובדות הצריכות לעניין</w:t>
      </w:r>
    </w:p>
    <w:p w:rsidR="004A78B2" w:rsidRDefault="004A78B2" w:rsidP="004A78B2">
      <w:pPr>
        <w:spacing w:line="360" w:lineRule="auto"/>
        <w:rPr>
          <w:rFonts w:ascii="David" w:hAnsi="David"/>
          <w:b/>
          <w:bCs/>
          <w:u w:val="single"/>
          <w:rtl/>
        </w:rPr>
      </w:pPr>
    </w:p>
    <w:p w:rsidR="004A78B2" w:rsidRDefault="004A78B2" w:rsidP="001928DB">
      <w:pPr>
        <w:pStyle w:val="ad"/>
        <w:numPr>
          <w:ilvl w:val="0"/>
          <w:numId w:val="1"/>
        </w:numPr>
        <w:spacing w:line="360" w:lineRule="auto"/>
        <w:ind w:left="360"/>
        <w:jc w:val="both"/>
        <w:rPr>
          <w:rFonts w:ascii="David" w:hAnsi="David" w:cs="David"/>
          <w:sz w:val="24"/>
          <w:szCs w:val="24"/>
          <w:rtl/>
        </w:rPr>
      </w:pPr>
      <w:r>
        <w:rPr>
          <w:rFonts w:ascii="David" w:hAnsi="David" w:cs="David"/>
          <w:sz w:val="24"/>
          <w:szCs w:val="24"/>
          <w:rtl/>
        </w:rPr>
        <w:t xml:space="preserve">ביום 4.5.2023 הגישה התובעת תובענה נגד בעלה, הנתבע 1, שכותרתה "תובענה לפירוק שיתוף ואיזון לפי הסכם ממון". במסגרתה התובענה, עתרה התובעת </w:t>
      </w:r>
      <w:r w:rsidR="001928DB">
        <w:rPr>
          <w:rFonts w:ascii="David" w:hAnsi="David" w:cs="David"/>
          <w:sz w:val="24"/>
          <w:szCs w:val="24"/>
          <w:rtl/>
        </w:rPr>
        <w:t xml:space="preserve">למתן סעד הצהרתי כי הדירה ברחוב </w:t>
      </w:r>
      <w:r w:rsidR="002B7F2F">
        <w:rPr>
          <w:rFonts w:ascii="David" w:hAnsi="David" w:cs="David"/>
          <w:sz w:val="24"/>
          <w:szCs w:val="24"/>
        </w:rPr>
        <w:t xml:space="preserve"> </w:t>
      </w:r>
      <w:r w:rsidR="002B7F2F">
        <w:rPr>
          <w:rFonts w:ascii="David" w:hAnsi="David" w:cs="David" w:hint="cs"/>
          <w:sz w:val="24"/>
          <w:szCs w:val="24"/>
        </w:rPr>
        <w:t xml:space="preserve">X </w:t>
      </w:r>
      <w:r>
        <w:rPr>
          <w:rFonts w:ascii="David" w:hAnsi="David" w:cs="David"/>
          <w:sz w:val="24"/>
          <w:szCs w:val="24"/>
          <w:rtl/>
        </w:rPr>
        <w:t>ב</w:t>
      </w:r>
      <w:r w:rsidR="001928DB">
        <w:rPr>
          <w:rFonts w:ascii="David" w:hAnsi="David" w:cs="David" w:hint="cs"/>
          <w:sz w:val="24"/>
          <w:szCs w:val="24"/>
          <w:rtl/>
        </w:rPr>
        <w:t>א'</w:t>
      </w:r>
      <w:r>
        <w:rPr>
          <w:rFonts w:ascii="David" w:hAnsi="David" w:cs="David"/>
          <w:sz w:val="24"/>
          <w:szCs w:val="24"/>
          <w:rtl/>
        </w:rPr>
        <w:t xml:space="preserve"> (להלן: </w:t>
      </w:r>
      <w:r>
        <w:rPr>
          <w:rFonts w:ascii="David" w:hAnsi="David" w:cs="David"/>
          <w:b/>
          <w:bCs/>
          <w:sz w:val="24"/>
          <w:szCs w:val="24"/>
          <w:rtl/>
        </w:rPr>
        <w:t>"הדירה"</w:t>
      </w:r>
      <w:r>
        <w:rPr>
          <w:rFonts w:ascii="David" w:hAnsi="David" w:cs="David"/>
          <w:sz w:val="24"/>
          <w:szCs w:val="24"/>
          <w:rtl/>
        </w:rPr>
        <w:t xml:space="preserve">), הרשומה על שם התובעת והנתבע 1, הינה בבעלותה בלבד, וזאת </w:t>
      </w:r>
      <w:r w:rsidR="001928DB">
        <w:rPr>
          <w:rFonts w:ascii="David" w:hAnsi="David" w:cs="David"/>
          <w:sz w:val="24"/>
          <w:szCs w:val="24"/>
          <w:rtl/>
        </w:rPr>
        <w:t>מכוח הסכם ממון עליו חתמו הצדדים</w:t>
      </w:r>
      <w:r>
        <w:rPr>
          <w:rFonts w:ascii="David" w:hAnsi="David" w:cs="David"/>
          <w:sz w:val="24"/>
          <w:szCs w:val="24"/>
          <w:rtl/>
        </w:rPr>
        <w:t xml:space="preserve"> ביום 15.6.1993 (להלן: </w:t>
      </w:r>
      <w:r>
        <w:rPr>
          <w:rFonts w:ascii="David" w:hAnsi="David" w:cs="David"/>
          <w:b/>
          <w:bCs/>
          <w:sz w:val="24"/>
          <w:szCs w:val="24"/>
          <w:rtl/>
        </w:rPr>
        <w:t xml:space="preserve">"ההסכם המוקדם" </w:t>
      </w:r>
      <w:r>
        <w:rPr>
          <w:rFonts w:ascii="David" w:hAnsi="David" w:cs="David"/>
          <w:sz w:val="24"/>
          <w:szCs w:val="24"/>
          <w:rtl/>
        </w:rPr>
        <w:t>או</w:t>
      </w:r>
      <w:r>
        <w:rPr>
          <w:rFonts w:ascii="David" w:hAnsi="David" w:cs="David"/>
          <w:b/>
          <w:bCs/>
          <w:sz w:val="24"/>
          <w:szCs w:val="24"/>
          <w:rtl/>
        </w:rPr>
        <w:t xml:space="preserve"> "הסכם טרום הנישואין"</w:t>
      </w:r>
      <w:r>
        <w:rPr>
          <w:rFonts w:ascii="David" w:hAnsi="David" w:cs="David"/>
          <w:sz w:val="24"/>
          <w:szCs w:val="24"/>
          <w:rtl/>
        </w:rPr>
        <w:t>), ובשל כך שהתובעת רכשה את הדירה מכספה בלבד. לחילופין, עתרה התובעת לאיזון הדירה באופן שייקבע כי היא שייכת לה בלבד, בהתאם לסעיף 8(2) לחוק יחסי ממון תשל"ג 1973 (להלן: "</w:t>
      </w:r>
      <w:r>
        <w:rPr>
          <w:rFonts w:ascii="David" w:hAnsi="David" w:cs="David"/>
          <w:b/>
          <w:bCs/>
          <w:sz w:val="24"/>
          <w:szCs w:val="24"/>
          <w:rtl/>
        </w:rPr>
        <w:t>חוק יחסי ממון</w:t>
      </w:r>
      <w:r>
        <w:rPr>
          <w:rFonts w:ascii="David" w:hAnsi="David" w:cs="David"/>
          <w:sz w:val="24"/>
          <w:szCs w:val="24"/>
          <w:rtl/>
        </w:rPr>
        <w:t xml:space="preserve">"), בהתבסס על נסיבות הקשורות בהתנהלות הנתבע לאורך השנים. </w:t>
      </w:r>
    </w:p>
    <w:p w:rsidR="004A78B2" w:rsidRDefault="004A78B2" w:rsidP="00986C5C">
      <w:pPr>
        <w:pStyle w:val="ad"/>
        <w:numPr>
          <w:ilvl w:val="0"/>
          <w:numId w:val="1"/>
        </w:numPr>
        <w:spacing w:line="360" w:lineRule="auto"/>
        <w:ind w:left="360"/>
        <w:jc w:val="both"/>
        <w:rPr>
          <w:rFonts w:ascii="David" w:hAnsi="David" w:cs="David"/>
          <w:sz w:val="24"/>
          <w:szCs w:val="24"/>
        </w:rPr>
      </w:pPr>
      <w:r>
        <w:rPr>
          <w:rFonts w:ascii="David" w:hAnsi="David" w:cs="David"/>
          <w:sz w:val="24"/>
          <w:szCs w:val="24"/>
          <w:rtl/>
        </w:rPr>
        <w:t>ברקע יוער כי מתנהל בעניינו של הנתבע 1 הליך חדלות פירעון (</w:t>
      </w:r>
      <w:proofErr w:type="spellStart"/>
      <w:r>
        <w:rPr>
          <w:rFonts w:ascii="David" w:hAnsi="David" w:cs="David"/>
          <w:sz w:val="24"/>
          <w:szCs w:val="24"/>
          <w:rtl/>
        </w:rPr>
        <w:t>חדל"פ</w:t>
      </w:r>
      <w:proofErr w:type="spellEnd"/>
      <w:r>
        <w:rPr>
          <w:rFonts w:ascii="David" w:hAnsi="David" w:cs="David"/>
          <w:sz w:val="24"/>
          <w:szCs w:val="24"/>
          <w:rtl/>
        </w:rPr>
        <w:t xml:space="preserve"> </w:t>
      </w:r>
      <w:r w:rsidR="00986C5C">
        <w:rPr>
          <w:rFonts w:ascii="David" w:hAnsi="David" w:cs="David" w:hint="cs"/>
          <w:sz w:val="24"/>
          <w:szCs w:val="24"/>
        </w:rPr>
        <w:t>XXX</w:t>
      </w:r>
      <w:r>
        <w:rPr>
          <w:rFonts w:ascii="David" w:hAnsi="David" w:cs="David"/>
          <w:sz w:val="24"/>
          <w:szCs w:val="24"/>
          <w:rtl/>
        </w:rPr>
        <w:t xml:space="preserve">), וביום 11.12.2023, הוגשה בקשת הנאמן לנכסי הנתבע 1 (להלן: </w:t>
      </w:r>
      <w:r>
        <w:rPr>
          <w:rFonts w:ascii="David" w:hAnsi="David" w:cs="David"/>
          <w:b/>
          <w:bCs/>
          <w:sz w:val="24"/>
          <w:szCs w:val="24"/>
          <w:rtl/>
        </w:rPr>
        <w:t>"הנאמן"</w:t>
      </w:r>
      <w:r>
        <w:rPr>
          <w:rFonts w:ascii="David" w:hAnsi="David" w:cs="David"/>
          <w:sz w:val="24"/>
          <w:szCs w:val="24"/>
          <w:rtl/>
        </w:rPr>
        <w:t>), באמצעות עו"</w:t>
      </w:r>
      <w:r w:rsidR="007E21BC">
        <w:rPr>
          <w:rFonts w:ascii="David" w:hAnsi="David" w:cs="David"/>
          <w:sz w:val="24"/>
          <w:szCs w:val="24"/>
          <w:rtl/>
        </w:rPr>
        <w:t>ד עזרן, לצרפו כצד להליך שבפני.</w:t>
      </w:r>
    </w:p>
    <w:p w:rsidR="004A78B2" w:rsidRDefault="004A78B2" w:rsidP="004A78B2">
      <w:pPr>
        <w:pStyle w:val="ad"/>
        <w:numPr>
          <w:ilvl w:val="0"/>
          <w:numId w:val="1"/>
        </w:numPr>
        <w:spacing w:line="360" w:lineRule="auto"/>
        <w:ind w:left="360"/>
        <w:jc w:val="both"/>
        <w:rPr>
          <w:rFonts w:ascii="David" w:hAnsi="David" w:cs="David"/>
          <w:sz w:val="24"/>
          <w:szCs w:val="24"/>
        </w:rPr>
      </w:pPr>
      <w:r>
        <w:rPr>
          <w:rFonts w:ascii="David" w:hAnsi="David" w:cs="David"/>
          <w:sz w:val="24"/>
          <w:szCs w:val="24"/>
          <w:rtl/>
        </w:rPr>
        <w:t xml:space="preserve">ביום 6.6.2024 הגיש הנאמן תגובתו לתביעה, בה נטען, בתמצית, כי ההסכם המוקדם אינו מהווה הסכם ממון לפי חוק יחסי ממון, וכי הוגש עותק לא מקורי; כי אין לקבל את טענת התובעת להפרדה </w:t>
      </w:r>
      <w:proofErr w:type="spellStart"/>
      <w:r>
        <w:rPr>
          <w:rFonts w:ascii="David" w:hAnsi="David" w:cs="David"/>
          <w:sz w:val="24"/>
          <w:szCs w:val="24"/>
          <w:rtl/>
        </w:rPr>
        <w:t>רכושית</w:t>
      </w:r>
      <w:proofErr w:type="spellEnd"/>
      <w:r>
        <w:rPr>
          <w:rFonts w:ascii="David" w:hAnsi="David" w:cs="David"/>
          <w:sz w:val="24"/>
          <w:szCs w:val="24"/>
          <w:rtl/>
        </w:rPr>
        <w:t xml:space="preserve"> ביחס לדירה בניגוד לרישום, בשעה שהסכם רכישת הדירה בשנת 2011 נחתם ע"י התובעת והנתבע 1 יחד; כי רק באוגוסט 2020, לאחר שהוטלו עיקולים על הדירה לטובת נושי הנתבע 1, נרשמה הערת אזהרה לטובת התובעת על זכויותיה לכאורה בדירה; וכי מטרת התביעה היא להבריח נכסים מנושי הנתבע 1 בחוסר תום לב מוחלט. </w:t>
      </w:r>
    </w:p>
    <w:p w:rsidR="004A78B2" w:rsidRDefault="004A78B2" w:rsidP="004A78B2">
      <w:pPr>
        <w:pStyle w:val="ad"/>
        <w:numPr>
          <w:ilvl w:val="0"/>
          <w:numId w:val="1"/>
        </w:numPr>
        <w:spacing w:line="360" w:lineRule="auto"/>
        <w:ind w:left="360"/>
        <w:jc w:val="both"/>
        <w:rPr>
          <w:rFonts w:ascii="David" w:hAnsi="David" w:cs="David"/>
          <w:sz w:val="24"/>
          <w:szCs w:val="24"/>
        </w:rPr>
      </w:pPr>
      <w:r>
        <w:rPr>
          <w:rFonts w:ascii="David" w:hAnsi="David" w:cs="David"/>
          <w:sz w:val="24"/>
          <w:szCs w:val="24"/>
          <w:rtl/>
        </w:rPr>
        <w:t xml:space="preserve">הנתבע 1 לא הגיש כתב הגנה ולא התייצב לדיונים שהתקיימו. </w:t>
      </w:r>
    </w:p>
    <w:p w:rsidR="001928DB" w:rsidRDefault="001928DB" w:rsidP="004A78B2">
      <w:pPr>
        <w:spacing w:line="360" w:lineRule="auto"/>
        <w:jc w:val="both"/>
        <w:rPr>
          <w:rFonts w:ascii="David" w:hAnsi="David"/>
          <w:b/>
          <w:bCs/>
          <w:u w:val="single"/>
          <w:rtl/>
        </w:rPr>
      </w:pPr>
    </w:p>
    <w:p w:rsidR="004A78B2" w:rsidRDefault="004A78B2" w:rsidP="004A78B2">
      <w:pPr>
        <w:spacing w:line="360" w:lineRule="auto"/>
        <w:jc w:val="both"/>
        <w:rPr>
          <w:rFonts w:ascii="David" w:hAnsi="David"/>
          <w:b/>
          <w:bCs/>
          <w:u w:val="single"/>
        </w:rPr>
      </w:pPr>
      <w:r>
        <w:rPr>
          <w:rFonts w:ascii="David" w:hAnsi="David"/>
          <w:b/>
          <w:bCs/>
          <w:u w:val="single"/>
          <w:rtl/>
        </w:rPr>
        <w:lastRenderedPageBreak/>
        <w:t xml:space="preserve">השתלשלות דיונית </w:t>
      </w:r>
    </w:p>
    <w:p w:rsidR="004A78B2" w:rsidRDefault="004A78B2" w:rsidP="004A78B2">
      <w:pPr>
        <w:spacing w:line="360" w:lineRule="auto"/>
        <w:jc w:val="both"/>
        <w:rPr>
          <w:rFonts w:ascii="David" w:hAnsi="David"/>
          <w:b/>
          <w:bCs/>
          <w:u w:val="single"/>
          <w:rtl/>
        </w:rPr>
      </w:pPr>
    </w:p>
    <w:p w:rsidR="004A78B2" w:rsidRDefault="004A78B2" w:rsidP="004A78B2">
      <w:pPr>
        <w:pStyle w:val="ad"/>
        <w:numPr>
          <w:ilvl w:val="0"/>
          <w:numId w:val="1"/>
        </w:numPr>
        <w:spacing w:line="360" w:lineRule="auto"/>
        <w:ind w:left="360"/>
        <w:jc w:val="both"/>
        <w:rPr>
          <w:rFonts w:ascii="David" w:hAnsi="David" w:cs="David"/>
          <w:sz w:val="24"/>
          <w:szCs w:val="24"/>
        </w:rPr>
      </w:pPr>
      <w:r>
        <w:rPr>
          <w:rFonts w:ascii="David" w:hAnsi="David" w:cs="David"/>
          <w:sz w:val="24"/>
          <w:szCs w:val="24"/>
          <w:rtl/>
        </w:rPr>
        <w:t xml:space="preserve">ביום 9.6.2024 התקיים דיון קדם משפט ראשון בפני המותב הקודם שדן בתובענה, כבוד סה"נ, השופטת ענת אלפסי. הנתבע 1, כאמור, לא התייצב לדיון, על אף שבוצעה לו מסירה אישית (כעולה מאישור המסירה שהגישה התובעת לאחר מועד הדיון). </w:t>
      </w:r>
    </w:p>
    <w:p w:rsidR="004A78B2" w:rsidRDefault="004A78B2" w:rsidP="004A78B2">
      <w:pPr>
        <w:pStyle w:val="ad"/>
        <w:numPr>
          <w:ilvl w:val="0"/>
          <w:numId w:val="1"/>
        </w:numPr>
        <w:spacing w:line="360" w:lineRule="auto"/>
        <w:ind w:left="360"/>
        <w:jc w:val="both"/>
        <w:rPr>
          <w:rFonts w:ascii="David" w:hAnsi="David" w:cs="David"/>
          <w:sz w:val="24"/>
          <w:szCs w:val="24"/>
        </w:rPr>
      </w:pPr>
      <w:r>
        <w:rPr>
          <w:rFonts w:ascii="David" w:hAnsi="David" w:cs="David"/>
          <w:sz w:val="24"/>
          <w:szCs w:val="24"/>
          <w:rtl/>
        </w:rPr>
        <w:t xml:space="preserve">במעמד הדיון, הצהירה התובעת, בין השאר, כי גילתה בהפתעה שהנתבע 1, בעלה, שקוע בחובות, עת הגיעו נושים לביתה לעקל מיטלטלין בשנת 2021. בסמוך לאחר מכן נטען כי הצדדים נפרדו, והיא פתחה בהליך גירושין בבית הדין הרבני. הנאמן טען מנגד, כי חובות הנתבע 1 הם חובות משותפים לו ולתובעת, וכי התביעה הוגשה לאחר שהטענות הועלו ע"י התובעת בבית המשפט שדן בהליך חדלות הפירעון (כבוד השופטת גרבי), אשר קבע כי מדובר בטענות שהסמכות לדון בהן נתונה לבית המשפט לענייני משפחה. </w:t>
      </w:r>
    </w:p>
    <w:p w:rsidR="004A78B2" w:rsidRDefault="004A78B2" w:rsidP="004A78B2">
      <w:pPr>
        <w:pStyle w:val="ad"/>
        <w:numPr>
          <w:ilvl w:val="0"/>
          <w:numId w:val="1"/>
        </w:numPr>
        <w:spacing w:line="360" w:lineRule="auto"/>
        <w:ind w:left="360"/>
        <w:jc w:val="both"/>
        <w:rPr>
          <w:rFonts w:ascii="David" w:hAnsi="David" w:cs="David"/>
          <w:sz w:val="24"/>
          <w:szCs w:val="24"/>
        </w:rPr>
      </w:pPr>
      <w:r>
        <w:rPr>
          <w:rFonts w:ascii="David" w:hAnsi="David" w:cs="David"/>
          <w:sz w:val="24"/>
          <w:szCs w:val="24"/>
          <w:rtl/>
        </w:rPr>
        <w:t>בסופו של הדיון, סוכם כי התובעת תבחן אפשרות סיום ההליך בהסכמה עם הנאמן, באופן שהיא תרכוש את חלקו של הנתבע 1 בדירה. כמו כן, בשים לב להצהרת התובעת לפיה התנהלו בין התובעת לנתבע 1</w:t>
      </w:r>
      <w:r w:rsidR="007E21BC">
        <w:rPr>
          <w:rFonts w:ascii="David" w:hAnsi="David" w:cs="David" w:hint="cs"/>
          <w:sz w:val="24"/>
          <w:szCs w:val="24"/>
          <w:rtl/>
        </w:rPr>
        <w:t xml:space="preserve"> </w:t>
      </w:r>
      <w:r>
        <w:rPr>
          <w:rFonts w:ascii="David" w:hAnsi="David" w:cs="David"/>
          <w:sz w:val="24"/>
          <w:szCs w:val="24"/>
          <w:rtl/>
        </w:rPr>
        <w:t>הליכים בבית הדין הרבני, בית המשפט הורה לה להמציא אסמכתא בעניין הליכים אלה</w:t>
      </w:r>
      <w:r w:rsidR="007E21BC">
        <w:rPr>
          <w:rFonts w:ascii="David" w:hAnsi="David" w:cs="David" w:hint="cs"/>
          <w:sz w:val="24"/>
          <w:szCs w:val="24"/>
          <w:rtl/>
        </w:rPr>
        <w:t>,</w:t>
      </w:r>
      <w:r>
        <w:rPr>
          <w:rFonts w:ascii="David" w:hAnsi="David" w:cs="David"/>
          <w:sz w:val="24"/>
          <w:szCs w:val="24"/>
          <w:rtl/>
        </w:rPr>
        <w:t xml:space="preserve"> וזאת עד ליום 30.6.2024.</w:t>
      </w:r>
    </w:p>
    <w:p w:rsidR="004A78B2" w:rsidRDefault="004A78B2" w:rsidP="004A78B2">
      <w:pPr>
        <w:pStyle w:val="ad"/>
        <w:numPr>
          <w:ilvl w:val="0"/>
          <w:numId w:val="1"/>
        </w:numPr>
        <w:spacing w:line="360" w:lineRule="auto"/>
        <w:ind w:left="360"/>
        <w:jc w:val="both"/>
        <w:rPr>
          <w:rFonts w:ascii="David" w:hAnsi="David" w:cs="David"/>
          <w:sz w:val="24"/>
          <w:szCs w:val="24"/>
        </w:rPr>
      </w:pPr>
      <w:r>
        <w:rPr>
          <w:rFonts w:ascii="David" w:hAnsi="David" w:cs="David"/>
          <w:sz w:val="24"/>
          <w:szCs w:val="24"/>
          <w:rtl/>
        </w:rPr>
        <w:t>הודעה בדבר "המצאת מסמכים" הוגשה ע"י התובעת ביום 24.6.2024, במסגרתה הודיעה התובעת כי היא עומדת על המשך ניהול ההליך; הצהירה כי הנתבע 1 מתחמק ולא משתף פעולה בהליך בבית הדין הרבני; וכי אין לבאת כוחה גישה לתיק. המסמך היחיד אותו הגישה התובעת במסגרת ההודעה הנ"ל הוא "קבלה" בגין תשלום פתיחת הליך יישוב סכסוך בבית הדין הרבני (להלן: "</w:t>
      </w:r>
      <w:r>
        <w:rPr>
          <w:rFonts w:ascii="David" w:hAnsi="David" w:cs="David"/>
          <w:b/>
          <w:bCs/>
          <w:sz w:val="24"/>
          <w:szCs w:val="24"/>
          <w:rtl/>
        </w:rPr>
        <w:t>ההודעה</w:t>
      </w:r>
      <w:r>
        <w:rPr>
          <w:rFonts w:ascii="David" w:hAnsi="David" w:cs="David"/>
          <w:sz w:val="24"/>
          <w:szCs w:val="24"/>
          <w:rtl/>
        </w:rPr>
        <w:t>").</w:t>
      </w:r>
    </w:p>
    <w:p w:rsidR="004A78B2" w:rsidRDefault="004A78B2" w:rsidP="004A78B2">
      <w:pPr>
        <w:pStyle w:val="ad"/>
        <w:numPr>
          <w:ilvl w:val="0"/>
          <w:numId w:val="1"/>
        </w:numPr>
        <w:spacing w:line="360" w:lineRule="auto"/>
        <w:ind w:left="360"/>
        <w:jc w:val="both"/>
        <w:rPr>
          <w:rFonts w:ascii="David" w:hAnsi="David" w:cs="David"/>
          <w:sz w:val="24"/>
          <w:szCs w:val="24"/>
        </w:rPr>
      </w:pPr>
      <w:r>
        <w:rPr>
          <w:rFonts w:ascii="David" w:hAnsi="David" w:cs="David"/>
          <w:sz w:val="24"/>
          <w:szCs w:val="24"/>
          <w:rtl/>
        </w:rPr>
        <w:t xml:space="preserve">ביום 30.6.2024, על פי הוראת כבוד הנשיא, השופט עמית יריב, הועברה התובענה להתברר בפני. </w:t>
      </w:r>
    </w:p>
    <w:p w:rsidR="004A78B2" w:rsidRDefault="004A78B2" w:rsidP="004A78B2">
      <w:pPr>
        <w:pStyle w:val="ad"/>
        <w:numPr>
          <w:ilvl w:val="0"/>
          <w:numId w:val="1"/>
        </w:numPr>
        <w:spacing w:line="360" w:lineRule="auto"/>
        <w:ind w:left="360"/>
        <w:jc w:val="both"/>
        <w:rPr>
          <w:rFonts w:ascii="David" w:hAnsi="David" w:cs="David"/>
          <w:sz w:val="24"/>
          <w:szCs w:val="24"/>
        </w:rPr>
      </w:pPr>
      <w:r>
        <w:rPr>
          <w:rFonts w:ascii="David" w:hAnsi="David" w:cs="David"/>
          <w:sz w:val="24"/>
          <w:szCs w:val="24"/>
          <w:rtl/>
        </w:rPr>
        <w:t xml:space="preserve">ביום 7.7.2024 הוריתי לתובעת להגיש את כלל המסמכים ביחס להליך שמתנהל בבית הדין הרבני, כאשר צוין בהחלטה כי בשעה שהתובעת היא צד להליכים המתנהלים בבית הדין הרבני, ברי כי יש לה גישה למסמכים ואסמכתאות לגבי השלב הדיוני בו נמצא התיק. </w:t>
      </w:r>
    </w:p>
    <w:p w:rsidR="004A78B2" w:rsidRDefault="004A78B2" w:rsidP="004A78B2">
      <w:pPr>
        <w:pStyle w:val="ad"/>
        <w:numPr>
          <w:ilvl w:val="0"/>
          <w:numId w:val="1"/>
        </w:numPr>
        <w:spacing w:line="360" w:lineRule="auto"/>
        <w:ind w:left="360"/>
        <w:jc w:val="both"/>
        <w:rPr>
          <w:rFonts w:ascii="David" w:hAnsi="David" w:cs="David"/>
          <w:sz w:val="24"/>
          <w:szCs w:val="24"/>
        </w:rPr>
      </w:pPr>
      <w:r>
        <w:rPr>
          <w:rFonts w:ascii="David" w:hAnsi="David" w:cs="David"/>
          <w:sz w:val="24"/>
          <w:szCs w:val="24"/>
          <w:rtl/>
        </w:rPr>
        <w:t xml:space="preserve">ביום 18.7.2024, לאחר הוספת ייצוג ובקשת ארכה, הגישה התובעת תצהיר בעניין ההליכים המתנהלים בבית הדין הרבני, בו הוצהר </w:t>
      </w:r>
      <w:r>
        <w:rPr>
          <w:rFonts w:ascii="David" w:hAnsi="David" w:cs="David"/>
          <w:sz w:val="24"/>
          <w:szCs w:val="24"/>
          <w:u w:val="single"/>
          <w:rtl/>
        </w:rPr>
        <w:t>לראשונה</w:t>
      </w:r>
      <w:r>
        <w:rPr>
          <w:rFonts w:ascii="David" w:hAnsi="David" w:cs="David"/>
          <w:sz w:val="24"/>
          <w:szCs w:val="24"/>
          <w:rtl/>
        </w:rPr>
        <w:t xml:space="preserve"> כי כחודש לאחר הגעת קבלני הוצאה לפועל לביתם פתחה התובעת בהליך גירושין, וכי נערך הסכם גירושין בין הצדדים ע"י עו"ד שרעבי בהתאם להסכם טרום נישואין. </w:t>
      </w:r>
      <w:r>
        <w:rPr>
          <w:rFonts w:ascii="David" w:hAnsi="David" w:cs="David"/>
          <w:b/>
          <w:bCs/>
          <w:sz w:val="24"/>
          <w:szCs w:val="24"/>
          <w:rtl/>
        </w:rPr>
        <w:t>לתצהיר צורף "הסכם יחסי ממון לחילופין גירושין", אשר נערך ע"י הצדדים ביום 15.7.2020 (להלן: "ההסכם המאוחר"), וכן פסק דין מיום 20.7.2020 שניתן ע"י בית הדין הרבני, ובמסגרתו ניתן תוקף של פסק דין להסכם המאוחר (להלן:</w:t>
      </w:r>
      <w:r>
        <w:rPr>
          <w:rFonts w:ascii="David" w:hAnsi="David" w:cs="David"/>
          <w:sz w:val="24"/>
          <w:szCs w:val="24"/>
          <w:rtl/>
        </w:rPr>
        <w:t xml:space="preserve"> "</w:t>
      </w:r>
      <w:r>
        <w:rPr>
          <w:rFonts w:ascii="David" w:hAnsi="David" w:cs="David"/>
          <w:b/>
          <w:bCs/>
          <w:sz w:val="24"/>
          <w:szCs w:val="24"/>
          <w:rtl/>
        </w:rPr>
        <w:t>פסק הדין</w:t>
      </w:r>
      <w:r>
        <w:rPr>
          <w:rFonts w:ascii="David" w:hAnsi="David" w:cs="David"/>
          <w:sz w:val="24"/>
          <w:szCs w:val="24"/>
          <w:rtl/>
        </w:rPr>
        <w:t xml:space="preserve">").  </w:t>
      </w:r>
    </w:p>
    <w:p w:rsidR="004A78B2" w:rsidRDefault="004A78B2" w:rsidP="004A78B2">
      <w:pPr>
        <w:pStyle w:val="ad"/>
        <w:numPr>
          <w:ilvl w:val="0"/>
          <w:numId w:val="1"/>
        </w:numPr>
        <w:spacing w:line="360" w:lineRule="auto"/>
        <w:ind w:left="360"/>
        <w:jc w:val="both"/>
        <w:rPr>
          <w:rFonts w:ascii="David" w:hAnsi="David" w:cs="David"/>
          <w:sz w:val="24"/>
          <w:szCs w:val="24"/>
        </w:rPr>
      </w:pPr>
      <w:r>
        <w:rPr>
          <w:rFonts w:ascii="David" w:hAnsi="David" w:cs="David"/>
          <w:sz w:val="24"/>
          <w:szCs w:val="24"/>
          <w:rtl/>
        </w:rPr>
        <w:t>במסגרת ההסכם המאוחר נקבע כי "</w:t>
      </w:r>
      <w:r>
        <w:rPr>
          <w:rFonts w:ascii="David" w:hAnsi="David" w:cs="David"/>
          <w:b/>
          <w:bCs/>
          <w:sz w:val="24"/>
          <w:szCs w:val="24"/>
          <w:rtl/>
        </w:rPr>
        <w:t>הדירה הרשומה ע"ש הצדדים חלקו של הבעל [הנתבע 1] בדירה יועבר לידי האישה [התובעת] ולאישה יהיו מלוא הזכויות"</w:t>
      </w:r>
      <w:r>
        <w:rPr>
          <w:rFonts w:ascii="David" w:hAnsi="David" w:cs="David"/>
          <w:sz w:val="24"/>
          <w:szCs w:val="24"/>
          <w:rtl/>
        </w:rPr>
        <w:t xml:space="preserve"> (סעיף 2.1 להסכם המאוחר). כמו כן, נקבע בהסכם המאוחר כי כל יתר הנכסים שנצברו ע"ש הנתבע 1 לפני הנישואין ולאחריהם יהיו בבעלות הנתבע 1 בלבד. </w:t>
      </w:r>
    </w:p>
    <w:p w:rsidR="004A78B2" w:rsidRDefault="004A78B2" w:rsidP="004A78B2">
      <w:pPr>
        <w:pStyle w:val="ad"/>
        <w:numPr>
          <w:ilvl w:val="0"/>
          <w:numId w:val="1"/>
        </w:numPr>
        <w:spacing w:line="360" w:lineRule="auto"/>
        <w:ind w:left="360"/>
        <w:jc w:val="both"/>
        <w:rPr>
          <w:rFonts w:ascii="David" w:hAnsi="David" w:cs="David"/>
          <w:sz w:val="24"/>
          <w:szCs w:val="24"/>
        </w:rPr>
      </w:pPr>
      <w:r>
        <w:rPr>
          <w:rFonts w:ascii="David" w:hAnsi="David" w:cs="David"/>
          <w:sz w:val="24"/>
          <w:szCs w:val="24"/>
          <w:rtl/>
        </w:rPr>
        <w:lastRenderedPageBreak/>
        <w:t xml:space="preserve">עוד יצוין, כי אמנם ההסכם המאוחר אינו מאזכר את הסכם טרום הנישואין, אך בסעיף 26 להסכם המאוחר נקבע, כי ההסכם המאוחר מבטל כל הסדר או הסכם אחר שנערך בין הצדדים עובר לחתימת ההסכם המאוחר.  </w:t>
      </w:r>
    </w:p>
    <w:p w:rsidR="004A78B2" w:rsidRDefault="004A78B2" w:rsidP="004A78B2">
      <w:pPr>
        <w:pStyle w:val="ad"/>
        <w:numPr>
          <w:ilvl w:val="0"/>
          <w:numId w:val="1"/>
        </w:numPr>
        <w:spacing w:line="360" w:lineRule="auto"/>
        <w:ind w:left="360"/>
        <w:jc w:val="both"/>
        <w:rPr>
          <w:rFonts w:ascii="David" w:hAnsi="David" w:cs="David"/>
          <w:b/>
          <w:bCs/>
          <w:sz w:val="24"/>
          <w:szCs w:val="24"/>
        </w:rPr>
      </w:pPr>
      <w:r>
        <w:rPr>
          <w:rFonts w:ascii="David" w:hAnsi="David" w:cs="David"/>
          <w:b/>
          <w:bCs/>
          <w:sz w:val="24"/>
          <w:szCs w:val="24"/>
          <w:rtl/>
        </w:rPr>
        <w:t xml:space="preserve">ויודגש; קיומו של ההסכם המאוחר לא הוזכר, ולו ברמז, במסגרת התובענה או בדיון קדם המשפט הראשון שהתקיים. ההסכם הוגש לבית המשפט בחלוף 14 חודשים מיום הגשת התובענה, ורק לאחר שניתנו שתי החלטות שיפוטיות מפורשות, המורות לתובעת להגיש אסמכתאות לעניין ההליכים שהתנהלו בבית הדין הרבני בין הצדדים. </w:t>
      </w:r>
    </w:p>
    <w:p w:rsidR="004A78B2" w:rsidRDefault="004A78B2" w:rsidP="004A78B2">
      <w:pPr>
        <w:pStyle w:val="ad"/>
        <w:numPr>
          <w:ilvl w:val="0"/>
          <w:numId w:val="1"/>
        </w:numPr>
        <w:spacing w:line="360" w:lineRule="auto"/>
        <w:ind w:left="360"/>
        <w:jc w:val="both"/>
        <w:rPr>
          <w:rFonts w:ascii="David" w:hAnsi="David" w:cs="David"/>
          <w:sz w:val="24"/>
          <w:szCs w:val="24"/>
        </w:rPr>
      </w:pPr>
      <w:r>
        <w:rPr>
          <w:rFonts w:ascii="David" w:hAnsi="David" w:cs="David"/>
          <w:sz w:val="24"/>
          <w:szCs w:val="24"/>
          <w:rtl/>
        </w:rPr>
        <w:t xml:space="preserve">לאחר הגשת התצהיר, ובשים לב להודעת התובעת מיום 24.6.2024, לפיה היא עומדת על המשך ניהול ההליך, קבעתי דיון נוסף ליום 19.9.2024. לדיון התייצבו התובעת והנאמן.  </w:t>
      </w:r>
    </w:p>
    <w:p w:rsidR="004A78B2" w:rsidRDefault="004A78B2" w:rsidP="004A78B2">
      <w:pPr>
        <w:pStyle w:val="ad"/>
        <w:numPr>
          <w:ilvl w:val="0"/>
          <w:numId w:val="1"/>
        </w:numPr>
        <w:spacing w:line="360" w:lineRule="auto"/>
        <w:ind w:left="360"/>
        <w:jc w:val="both"/>
        <w:rPr>
          <w:rFonts w:ascii="David" w:hAnsi="David" w:cs="David"/>
          <w:sz w:val="24"/>
          <w:szCs w:val="24"/>
        </w:rPr>
      </w:pPr>
      <w:r>
        <w:rPr>
          <w:rFonts w:ascii="David" w:hAnsi="David" w:cs="David"/>
          <w:sz w:val="24"/>
          <w:szCs w:val="24"/>
          <w:rtl/>
        </w:rPr>
        <w:t>בדיון, טענו הצדדים לעניין נפקות הגילוי של ההסכם המאוחר, לעמדת כל אחד מהם, וההשלכות על התובענה דנן. בסופו של דבר, לאחר שנשמעו טענותיהם ודברי בית המשפט, התובעת עתרה למחוק את התובענה דנן, באופן שיאפשר לה לשקול את המשך ניהול ההליך במתכונת זו או אחרת בבית משפט של חדלות פירעון. הנאמן מנגד, עתר לדחיית התובענה, ולחילופין, עתר לחיוב התובעת בהוצאות ככל שבית המשפט יורה על מחיקת התובענה, זאת לאור הליך הסרק שהתנהל תקופה ממושכת, העברת הדיון מבית המשפט של חדלות פירעון לבית משפט זה, והסתרת פרטיים מהותיים במסגרת ההליכים שהתקיימו.</w:t>
      </w:r>
    </w:p>
    <w:p w:rsidR="004A78B2" w:rsidRDefault="004A78B2" w:rsidP="004A78B2">
      <w:pPr>
        <w:spacing w:line="360" w:lineRule="auto"/>
        <w:jc w:val="both"/>
        <w:rPr>
          <w:rFonts w:ascii="David" w:hAnsi="David"/>
          <w:b/>
          <w:bCs/>
          <w:u w:val="single"/>
        </w:rPr>
      </w:pPr>
      <w:r>
        <w:rPr>
          <w:rFonts w:ascii="David" w:hAnsi="David"/>
          <w:b/>
          <w:bCs/>
          <w:u w:val="single"/>
          <w:rtl/>
        </w:rPr>
        <w:t>דיון והכרעה</w:t>
      </w:r>
      <w:r>
        <w:rPr>
          <w:rFonts w:ascii="David" w:hAnsi="David"/>
          <w:rtl/>
        </w:rPr>
        <w:t xml:space="preserve"> </w:t>
      </w:r>
    </w:p>
    <w:p w:rsidR="004A78B2" w:rsidRDefault="004A78B2" w:rsidP="004A78B2">
      <w:pPr>
        <w:spacing w:line="360" w:lineRule="auto"/>
        <w:jc w:val="both"/>
        <w:rPr>
          <w:rFonts w:ascii="David" w:hAnsi="David"/>
          <w:b/>
          <w:bCs/>
          <w:u w:val="single"/>
          <w:rtl/>
        </w:rPr>
      </w:pPr>
    </w:p>
    <w:p w:rsidR="004A78B2" w:rsidRDefault="004A78B2" w:rsidP="004A78B2">
      <w:pPr>
        <w:pStyle w:val="ad"/>
        <w:numPr>
          <w:ilvl w:val="0"/>
          <w:numId w:val="1"/>
        </w:numPr>
        <w:spacing w:line="360" w:lineRule="auto"/>
        <w:ind w:left="360"/>
        <w:jc w:val="both"/>
        <w:rPr>
          <w:rFonts w:ascii="David" w:hAnsi="David" w:cs="David"/>
          <w:sz w:val="24"/>
          <w:szCs w:val="24"/>
        </w:rPr>
      </w:pPr>
      <w:r>
        <w:rPr>
          <w:rFonts w:ascii="David" w:hAnsi="David" w:cs="David"/>
          <w:sz w:val="24"/>
          <w:szCs w:val="24"/>
          <w:rtl/>
        </w:rPr>
        <w:t xml:space="preserve">לנוחות הקורא, אציג תחילה את המסגרת הדיונית, ובמסגרתה את הוראות התקנות הרלוונטיות. </w:t>
      </w:r>
    </w:p>
    <w:p w:rsidR="004A78B2" w:rsidRDefault="004A78B2" w:rsidP="004A78B2">
      <w:pPr>
        <w:pStyle w:val="ad"/>
        <w:numPr>
          <w:ilvl w:val="0"/>
          <w:numId w:val="1"/>
        </w:numPr>
        <w:spacing w:line="360" w:lineRule="auto"/>
        <w:ind w:left="360"/>
        <w:jc w:val="both"/>
        <w:rPr>
          <w:rFonts w:ascii="David" w:hAnsi="David" w:cs="David"/>
          <w:sz w:val="24"/>
          <w:szCs w:val="24"/>
        </w:rPr>
      </w:pPr>
      <w:r>
        <w:rPr>
          <w:rFonts w:ascii="David" w:hAnsi="David" w:cs="David"/>
          <w:sz w:val="24"/>
          <w:szCs w:val="24"/>
          <w:rtl/>
        </w:rPr>
        <w:t>פרק ו' לתקנות סדר הדין האזרחי, תשע"ט-2018 (להלן: "</w:t>
      </w:r>
      <w:r>
        <w:rPr>
          <w:rFonts w:ascii="David" w:hAnsi="David" w:cs="David"/>
          <w:b/>
          <w:bCs/>
          <w:sz w:val="24"/>
          <w:szCs w:val="24"/>
          <w:rtl/>
        </w:rPr>
        <w:t>תקנות סדר הדין האזרחי</w:t>
      </w:r>
      <w:r>
        <w:rPr>
          <w:rFonts w:ascii="David" w:hAnsi="David" w:cs="David"/>
          <w:sz w:val="24"/>
          <w:szCs w:val="24"/>
          <w:rtl/>
        </w:rPr>
        <w:t xml:space="preserve">"), שכותרתו "סילוק כתבי טענות", קובע את המסגרת הדיונית לסילוק תובענה על הסף, בדרך של מחיקה (תקנות 41-42 לתקנות סדר הדין האזרחי), או בדרך של דחייה (תקנה 43 לתקנות סדר הדין האזרחי). </w:t>
      </w:r>
    </w:p>
    <w:p w:rsidR="004A78B2" w:rsidRDefault="004A78B2" w:rsidP="004A78B2">
      <w:pPr>
        <w:pStyle w:val="ad"/>
        <w:numPr>
          <w:ilvl w:val="0"/>
          <w:numId w:val="1"/>
        </w:numPr>
        <w:spacing w:line="360" w:lineRule="auto"/>
        <w:ind w:left="360"/>
        <w:jc w:val="both"/>
        <w:rPr>
          <w:rFonts w:ascii="David" w:hAnsi="David" w:cs="David"/>
          <w:sz w:val="24"/>
          <w:szCs w:val="24"/>
        </w:rPr>
      </w:pPr>
      <w:r>
        <w:rPr>
          <w:rFonts w:ascii="David" w:hAnsi="David" w:cs="David"/>
          <w:sz w:val="24"/>
          <w:szCs w:val="24"/>
          <w:rtl/>
        </w:rPr>
        <w:t xml:space="preserve">האפשרות למחיקת תובענה מוסדרת כאמור בתקנה 41 ובתקנה 42 לתקנות סדר הדין האזרחי. תקנה 41(א) לתקנות סדר הדין האזרחי קובעת כי </w:t>
      </w:r>
      <w:r>
        <w:rPr>
          <w:rFonts w:ascii="David" w:hAnsi="David" w:cs="David"/>
          <w:b/>
          <w:bCs/>
          <w:sz w:val="24"/>
          <w:szCs w:val="24"/>
          <w:rtl/>
        </w:rPr>
        <w:t>"בית המשפט רשאי להורות על מחיקת כתב תביעה בכל עת על יסוד אחד מנימוקים אלה: (1) כתב התביעה אינו מגלה עילת תביעה; (2) מכתב התביעה עולה כי התביעה היא טרדנית או קנטרנית; (3)התובע מתמיד, באופן שאינו מניח את הדעת, להימנע מלקיים הוראה מתקנות אלה או נמנע מלקיים החלטה או הוראה של בית המשפט; (4) כל נימוק אחר שלפיו הוא סבור שראוי ונכון למחוק את התביעה".</w:t>
      </w:r>
      <w:r>
        <w:rPr>
          <w:rFonts w:ascii="David" w:hAnsi="David" w:cs="David"/>
          <w:sz w:val="24"/>
          <w:szCs w:val="24"/>
          <w:rtl/>
        </w:rPr>
        <w:t xml:space="preserve"> בנוסף, לפי תקנה 42 לתקנות סדר הדין האזרחי, בית המשפט רשאי להורות על מחיקת כתב טענות מחמת שימוש לרעה בהליכי משפט. </w:t>
      </w:r>
    </w:p>
    <w:p w:rsidR="004A78B2" w:rsidRDefault="004A78B2" w:rsidP="004A78B2">
      <w:pPr>
        <w:pStyle w:val="ad"/>
        <w:numPr>
          <w:ilvl w:val="0"/>
          <w:numId w:val="1"/>
        </w:numPr>
        <w:spacing w:line="360" w:lineRule="auto"/>
        <w:ind w:left="360"/>
        <w:jc w:val="both"/>
        <w:rPr>
          <w:rFonts w:ascii="David" w:hAnsi="David" w:cs="David"/>
          <w:sz w:val="24"/>
          <w:szCs w:val="24"/>
        </w:rPr>
      </w:pPr>
      <w:r>
        <w:rPr>
          <w:rFonts w:ascii="David" w:hAnsi="David" w:cs="David"/>
          <w:sz w:val="24"/>
          <w:szCs w:val="24"/>
          <w:rtl/>
        </w:rPr>
        <w:t xml:space="preserve">אשר לאפשרות דחיית התובענה (כפי שיש לקבוע, לעמדת הנאמן, במקרה דנן), רלוונטית לעניין זה תקנה 43 לתקנות סדר הדין האזרחי, לפיה במקרים מיוחדים, ובהם קיומו של מעשה בית דין; התיישנות; או כל נימוק אחר (עילת סל), רשאי בית המשפט להורות על דחיית התובענה. ברי כי </w:t>
      </w:r>
      <w:r>
        <w:rPr>
          <w:rFonts w:ascii="David" w:hAnsi="David" w:cs="David"/>
          <w:sz w:val="24"/>
          <w:szCs w:val="24"/>
          <w:rtl/>
        </w:rPr>
        <w:lastRenderedPageBreak/>
        <w:t xml:space="preserve">החלטה על דחיית התובענה היא בעלת משמעות הרת גורל לתובע, שכן החלטה כאמור מהווה מעשה בית דין, וחוסמת את דרכו של התובע להגיש תובענה באותה עילה בשל השתק שיפוטי. אשר על כן, ובפרט כאשר מדובר בדחייה על הסף בעילת הסל הקבועה בסיפא לתקנה 43 לתקנות סדר הדין האזרחי, בית המשפט ידחה תובענה על הסף במקרים של שימוש קיצוני לרעה בהליכי משפט (ע"א 8416/22 </w:t>
      </w:r>
      <w:r>
        <w:rPr>
          <w:rFonts w:ascii="David" w:hAnsi="David" w:cs="David"/>
          <w:b/>
          <w:bCs/>
          <w:sz w:val="24"/>
          <w:szCs w:val="24"/>
          <w:rtl/>
        </w:rPr>
        <w:t xml:space="preserve">רמי </w:t>
      </w:r>
      <w:proofErr w:type="spellStart"/>
      <w:r>
        <w:rPr>
          <w:rFonts w:ascii="David" w:hAnsi="David" w:cs="David"/>
          <w:b/>
          <w:bCs/>
          <w:sz w:val="24"/>
          <w:szCs w:val="24"/>
          <w:rtl/>
        </w:rPr>
        <w:t>שבירו</w:t>
      </w:r>
      <w:proofErr w:type="spellEnd"/>
      <w:r>
        <w:rPr>
          <w:rFonts w:ascii="David" w:hAnsi="David" w:cs="David"/>
          <w:b/>
          <w:bCs/>
          <w:sz w:val="24"/>
          <w:szCs w:val="24"/>
          <w:rtl/>
        </w:rPr>
        <w:t xml:space="preserve"> הנדסה בניה והשקעות בע"מ נ' רשות מקרקעי ישראל</w:t>
      </w:r>
      <w:r>
        <w:rPr>
          <w:rFonts w:ascii="David" w:hAnsi="David" w:cs="David"/>
          <w:sz w:val="24"/>
          <w:szCs w:val="24"/>
          <w:rtl/>
        </w:rPr>
        <w:t xml:space="preserve"> (פורסם בנבו, 14.11.2023); יששכר רוזן-צבי </w:t>
      </w:r>
      <w:r>
        <w:rPr>
          <w:rFonts w:ascii="David" w:hAnsi="David" w:cs="David"/>
          <w:b/>
          <w:bCs/>
          <w:sz w:val="24"/>
          <w:szCs w:val="24"/>
          <w:rtl/>
        </w:rPr>
        <w:t>הרפורמה בסדר הדין האזרחי: מורה נבוכים</w:t>
      </w:r>
      <w:r>
        <w:rPr>
          <w:rFonts w:ascii="David" w:hAnsi="David" w:cs="David"/>
          <w:sz w:val="24"/>
          <w:szCs w:val="24"/>
          <w:rtl/>
        </w:rPr>
        <w:t xml:space="preserve"> (2021), בעמ' 246)).</w:t>
      </w:r>
    </w:p>
    <w:p w:rsidR="004A78B2" w:rsidRDefault="004A78B2" w:rsidP="004A78B2">
      <w:pPr>
        <w:pStyle w:val="ad"/>
        <w:numPr>
          <w:ilvl w:val="0"/>
          <w:numId w:val="1"/>
        </w:numPr>
        <w:spacing w:line="360" w:lineRule="auto"/>
        <w:ind w:left="360"/>
        <w:jc w:val="both"/>
        <w:rPr>
          <w:rFonts w:ascii="David" w:hAnsi="David" w:cs="David"/>
          <w:sz w:val="24"/>
          <w:szCs w:val="24"/>
        </w:rPr>
      </w:pPr>
      <w:r>
        <w:rPr>
          <w:rFonts w:ascii="David" w:hAnsi="David" w:cs="David"/>
          <w:sz w:val="24"/>
          <w:szCs w:val="24"/>
          <w:rtl/>
        </w:rPr>
        <w:t>שעה שעסקינן בבקשה למחיקת תובענה מטעם תובע, שהוא בעל הדין שיזם את ההליך, כבענייננו, יש לראותה כבקשה להפסקת תובענה, ולדון בה בהתאם למסגרת הדיונית שנקבעה בתקנה 44 לתקנות סדר הדין האזרחי (</w:t>
      </w:r>
      <w:r>
        <w:rPr>
          <w:rFonts w:ascii="David" w:hAnsi="David" w:cs="David"/>
          <w:b/>
          <w:bCs/>
          <w:sz w:val="24"/>
          <w:szCs w:val="24"/>
          <w:rtl/>
        </w:rPr>
        <w:t>שם</w:t>
      </w:r>
      <w:r>
        <w:rPr>
          <w:rFonts w:ascii="David" w:hAnsi="David" w:cs="David"/>
          <w:sz w:val="24"/>
          <w:szCs w:val="24"/>
          <w:rtl/>
        </w:rPr>
        <w:t xml:space="preserve">, בעמ' 242)). לפי תקנה 44 הנ"ל, לבקשת תובע, בית המשפט רשאי להפסיק תובענה וזאת על דרך מחיקתה, ויחולו תקנות 41(ב) ו-(ג) לתקנות סדר הדין האזרחי, לפיהן מחיקת כתב התביעה אינה מהווה מעשה בית דין, והדיון בתובענה החדשה יימשך מהשלב שבו נפסקה התביעה הנוכחית, זולת אם הורה בית המשפט אחרת (תקנה 41(ב) לתקנות סדר הדין האזרחי). כמו כן, בית המשפט רשאי להתנות את מחיקת התביעה בתנאים, לפי תקנה 41(ג) לתקנות סדר הדין האזרחי. </w:t>
      </w:r>
    </w:p>
    <w:p w:rsidR="004A78B2" w:rsidRDefault="004A78B2" w:rsidP="004A78B2">
      <w:pPr>
        <w:pStyle w:val="ad"/>
        <w:numPr>
          <w:ilvl w:val="0"/>
          <w:numId w:val="1"/>
        </w:numPr>
        <w:spacing w:line="360" w:lineRule="auto"/>
        <w:ind w:left="360"/>
        <w:jc w:val="both"/>
        <w:rPr>
          <w:rFonts w:ascii="David" w:hAnsi="David" w:cs="David"/>
          <w:sz w:val="24"/>
          <w:szCs w:val="24"/>
        </w:rPr>
      </w:pPr>
      <w:r>
        <w:rPr>
          <w:rFonts w:ascii="David" w:hAnsi="David" w:cs="David"/>
          <w:sz w:val="24"/>
          <w:szCs w:val="24"/>
          <w:rtl/>
        </w:rPr>
        <w:t xml:space="preserve">בע"א 3975/21 </w:t>
      </w:r>
      <w:r>
        <w:rPr>
          <w:rFonts w:ascii="David" w:hAnsi="David" w:cs="David"/>
          <w:b/>
          <w:bCs/>
          <w:sz w:val="24"/>
          <w:szCs w:val="24"/>
          <w:rtl/>
        </w:rPr>
        <w:t>מדינת ישראל משרד הבריאות נ' אי. סיג בע"מ</w:t>
      </w:r>
      <w:r>
        <w:rPr>
          <w:rFonts w:ascii="David" w:hAnsi="David" w:cs="David"/>
          <w:sz w:val="24"/>
          <w:szCs w:val="24"/>
          <w:rtl/>
        </w:rPr>
        <w:t xml:space="preserve"> (פורסם בנבו, 20.3.2022) (להלן: "</w:t>
      </w:r>
      <w:r>
        <w:rPr>
          <w:rFonts w:ascii="David" w:hAnsi="David" w:cs="David"/>
          <w:b/>
          <w:bCs/>
          <w:sz w:val="24"/>
          <w:szCs w:val="24"/>
          <w:rtl/>
        </w:rPr>
        <w:t>עניין משרד הבריאות</w:t>
      </w:r>
      <w:r>
        <w:rPr>
          <w:rFonts w:ascii="David" w:hAnsi="David" w:cs="David"/>
          <w:sz w:val="24"/>
          <w:szCs w:val="24"/>
          <w:rtl/>
        </w:rPr>
        <w:t>") קבע כבוד השופט (כתוארו אז) עמית, את השיקולים שיש לבחון כאשר מונחת בפני בית המשפט בקשה להפסקת תובענה על דרך מחיקתה, כדלקמן:</w:t>
      </w:r>
      <w:r>
        <w:rPr>
          <w:rFonts w:ascii="David" w:hAnsi="David" w:cs="David"/>
          <w:sz w:val="24"/>
          <w:szCs w:val="24"/>
        </w:rPr>
        <w:t xml:space="preserve"> </w:t>
      </w:r>
    </w:p>
    <w:p w:rsidR="004A78B2" w:rsidRDefault="004A78B2" w:rsidP="004A78B2">
      <w:pPr>
        <w:pStyle w:val="ad"/>
        <w:spacing w:line="360" w:lineRule="auto"/>
        <w:ind w:left="360"/>
        <w:jc w:val="both"/>
        <w:rPr>
          <w:rFonts w:ascii="David" w:hAnsi="David" w:cs="David"/>
          <w:sz w:val="24"/>
          <w:szCs w:val="24"/>
        </w:rPr>
      </w:pPr>
    </w:p>
    <w:p w:rsidR="004A78B2" w:rsidRDefault="004A78B2" w:rsidP="004A78B2">
      <w:pPr>
        <w:pStyle w:val="ad"/>
        <w:spacing w:line="360" w:lineRule="auto"/>
        <w:ind w:left="360"/>
        <w:jc w:val="both"/>
        <w:rPr>
          <w:rFonts w:ascii="David" w:hAnsi="David" w:cs="David"/>
          <w:sz w:val="24"/>
          <w:szCs w:val="24"/>
        </w:rPr>
      </w:pPr>
      <w:r>
        <w:rPr>
          <w:rFonts w:ascii="David" w:hAnsi="David" w:cs="David"/>
          <w:sz w:val="24"/>
          <w:szCs w:val="24"/>
          <w:rtl/>
        </w:rPr>
        <w:t xml:space="preserve">(א) </w:t>
      </w:r>
      <w:r>
        <w:rPr>
          <w:rFonts w:ascii="David" w:hAnsi="David" w:cs="David"/>
          <w:b/>
          <w:bCs/>
          <w:sz w:val="24"/>
          <w:szCs w:val="24"/>
          <w:rtl/>
        </w:rPr>
        <w:t>משאבי שיפוט</w:t>
      </w:r>
      <w:r>
        <w:rPr>
          <w:rFonts w:ascii="David" w:hAnsi="David" w:cs="David"/>
          <w:sz w:val="24"/>
          <w:szCs w:val="24"/>
          <w:rtl/>
        </w:rPr>
        <w:t xml:space="preserve"> – על בית המשפט לשקול ולאזן בין אינטרס בעלי הדין לבין אינטרס הציבור בקיומו של דיון משפטי צודק, מהיר ויעיל, כאשר יש לשקול את אובדן משאבי השיפוט הכרוכים בכך שככל שהתובענה תוגש פעם נוספת, ייאלץ השופט הדן בתיק ללמוד את התיק מחדש, במיוחד מקום בו התובענה תנותב לשופט אחר; </w:t>
      </w:r>
    </w:p>
    <w:p w:rsidR="004A78B2" w:rsidRDefault="004A78B2" w:rsidP="004A78B2">
      <w:pPr>
        <w:pStyle w:val="ad"/>
        <w:spacing w:line="360" w:lineRule="auto"/>
        <w:ind w:left="360"/>
        <w:jc w:val="both"/>
        <w:rPr>
          <w:rFonts w:ascii="David" w:hAnsi="David" w:cs="David"/>
          <w:sz w:val="24"/>
          <w:szCs w:val="24"/>
          <w:rtl/>
        </w:rPr>
      </w:pPr>
    </w:p>
    <w:p w:rsidR="004A78B2" w:rsidRDefault="004A78B2" w:rsidP="004A78B2">
      <w:pPr>
        <w:pStyle w:val="ad"/>
        <w:spacing w:line="360" w:lineRule="auto"/>
        <w:ind w:left="360"/>
        <w:jc w:val="both"/>
        <w:rPr>
          <w:rFonts w:ascii="David" w:hAnsi="David" w:cs="David"/>
          <w:sz w:val="24"/>
          <w:szCs w:val="24"/>
        </w:rPr>
      </w:pPr>
      <w:r>
        <w:rPr>
          <w:rFonts w:ascii="David" w:hAnsi="David" w:cs="David"/>
          <w:sz w:val="24"/>
          <w:szCs w:val="24"/>
          <w:rtl/>
        </w:rPr>
        <w:t xml:space="preserve">(ב) </w:t>
      </w:r>
      <w:r>
        <w:rPr>
          <w:rFonts w:ascii="David" w:hAnsi="David" w:cs="David"/>
          <w:b/>
          <w:bCs/>
          <w:sz w:val="24"/>
          <w:szCs w:val="24"/>
          <w:rtl/>
        </w:rPr>
        <w:t>שימוש לרעה בהיבט בחירת המותב השיפוטי</w:t>
      </w:r>
      <w:r>
        <w:rPr>
          <w:rFonts w:ascii="David" w:hAnsi="David" w:cs="David"/>
          <w:sz w:val="24"/>
          <w:szCs w:val="24"/>
          <w:rtl/>
        </w:rPr>
        <w:t xml:space="preserve"> (</w:t>
      </w:r>
      <w:r>
        <w:rPr>
          <w:rFonts w:ascii="David" w:hAnsi="David" w:cs="David"/>
          <w:sz w:val="24"/>
          <w:szCs w:val="24"/>
        </w:rPr>
        <w:t>"Judge shopping"</w:t>
      </w:r>
      <w:r>
        <w:rPr>
          <w:rFonts w:ascii="David" w:hAnsi="David" w:cs="David"/>
          <w:sz w:val="24"/>
          <w:szCs w:val="24"/>
          <w:rtl/>
        </w:rPr>
        <w:t>) – על בית המשפט לשקול כי התובע עלול להשתמש בכלי של מחיקת תובענה כדי לנסות ולהגיע למותב אחר שידון בתביעתו. יצוין, כי כאשר עסקינן במחיקת תובענה בענייני משפחה, אפשר כי חשש זה מתאיין, בהינתן העיקרון המנחה של "שופט אחד-למשפחה אחת" המתקיים בבית המשפט לענייני משפחה;</w:t>
      </w:r>
    </w:p>
    <w:p w:rsidR="004A78B2" w:rsidRDefault="004A78B2" w:rsidP="004A78B2">
      <w:pPr>
        <w:pStyle w:val="ad"/>
        <w:spacing w:line="360" w:lineRule="auto"/>
        <w:ind w:left="360"/>
        <w:jc w:val="both"/>
        <w:rPr>
          <w:rFonts w:ascii="David" w:hAnsi="David" w:cs="David"/>
          <w:sz w:val="24"/>
          <w:szCs w:val="24"/>
          <w:rtl/>
        </w:rPr>
      </w:pPr>
    </w:p>
    <w:p w:rsidR="004A78B2" w:rsidRDefault="004A78B2" w:rsidP="004A78B2">
      <w:pPr>
        <w:pStyle w:val="ad"/>
        <w:spacing w:line="360" w:lineRule="auto"/>
        <w:ind w:left="360"/>
        <w:jc w:val="both"/>
        <w:rPr>
          <w:rFonts w:ascii="David" w:hAnsi="David" w:cs="David"/>
          <w:sz w:val="24"/>
          <w:szCs w:val="24"/>
          <w:rtl/>
        </w:rPr>
      </w:pPr>
      <w:r>
        <w:rPr>
          <w:rFonts w:ascii="David" w:hAnsi="David" w:cs="David"/>
          <w:sz w:val="24"/>
          <w:szCs w:val="24"/>
          <w:rtl/>
        </w:rPr>
        <w:t xml:space="preserve">(ג) </w:t>
      </w:r>
      <w:r>
        <w:rPr>
          <w:rFonts w:ascii="David" w:hAnsi="David" w:cs="David"/>
          <w:b/>
          <w:bCs/>
          <w:sz w:val="24"/>
          <w:szCs w:val="24"/>
          <w:rtl/>
        </w:rPr>
        <w:t>שימוש לרעה בהיבט ניסיון ל"מקצה שיפורים"</w:t>
      </w:r>
      <w:r>
        <w:rPr>
          <w:rFonts w:ascii="David" w:hAnsi="David" w:cs="David"/>
          <w:sz w:val="24"/>
          <w:szCs w:val="24"/>
          <w:rtl/>
        </w:rPr>
        <w:t xml:space="preserve"> – חשש שהתובע ינסה בתביעתו החדשה לעשות "מקצה שיפורים", כגון הוספת עילת תביעה, ככל שתביעתו לתיקון כתב התביעה נדחתה; </w:t>
      </w:r>
    </w:p>
    <w:p w:rsidR="004A78B2" w:rsidRDefault="004A78B2" w:rsidP="004A78B2">
      <w:pPr>
        <w:pStyle w:val="ad"/>
        <w:spacing w:line="360" w:lineRule="auto"/>
        <w:ind w:left="360"/>
        <w:jc w:val="both"/>
        <w:rPr>
          <w:rFonts w:ascii="David" w:hAnsi="David" w:cs="David"/>
          <w:sz w:val="24"/>
          <w:szCs w:val="24"/>
          <w:rtl/>
        </w:rPr>
      </w:pPr>
    </w:p>
    <w:p w:rsidR="004A78B2" w:rsidRDefault="004A78B2" w:rsidP="004A78B2">
      <w:pPr>
        <w:pStyle w:val="ad"/>
        <w:spacing w:line="360" w:lineRule="auto"/>
        <w:ind w:left="360"/>
        <w:jc w:val="both"/>
        <w:rPr>
          <w:rFonts w:ascii="David" w:hAnsi="David" w:cs="David"/>
          <w:sz w:val="24"/>
          <w:szCs w:val="24"/>
          <w:rtl/>
        </w:rPr>
      </w:pPr>
      <w:r>
        <w:rPr>
          <w:rFonts w:ascii="David" w:hAnsi="David" w:cs="David"/>
          <w:sz w:val="24"/>
          <w:szCs w:val="24"/>
          <w:rtl/>
        </w:rPr>
        <w:lastRenderedPageBreak/>
        <w:t xml:space="preserve">(ד) </w:t>
      </w:r>
      <w:r>
        <w:rPr>
          <w:rFonts w:ascii="David" w:hAnsi="David" w:cs="David"/>
          <w:b/>
          <w:bCs/>
          <w:sz w:val="24"/>
          <w:szCs w:val="24"/>
          <w:rtl/>
        </w:rPr>
        <w:t>שימוש לרעה על דרך "שב ואל תעשה"</w:t>
      </w:r>
      <w:r>
        <w:rPr>
          <w:rFonts w:ascii="David" w:hAnsi="David" w:cs="David"/>
          <w:sz w:val="24"/>
          <w:szCs w:val="24"/>
          <w:rtl/>
        </w:rPr>
        <w:t xml:space="preserve"> – יש להימנע ממצב שבו תובע מתוחכם יימנע מלקדם את תביעתו, באופן שיביא למחיקתה מחמת חוסר מעש (תקנה 41(א)(3) לתקנות סדר הדין האזרחי), ויאפשר לו להגישה מחדש. </w:t>
      </w:r>
    </w:p>
    <w:p w:rsidR="004A78B2" w:rsidRDefault="004A78B2" w:rsidP="004A78B2">
      <w:pPr>
        <w:pStyle w:val="ad"/>
        <w:spacing w:line="360" w:lineRule="auto"/>
        <w:ind w:left="360"/>
        <w:jc w:val="both"/>
        <w:rPr>
          <w:rFonts w:ascii="David" w:hAnsi="David" w:cs="David"/>
          <w:sz w:val="24"/>
          <w:szCs w:val="24"/>
          <w:rtl/>
        </w:rPr>
      </w:pPr>
    </w:p>
    <w:p w:rsidR="004A78B2" w:rsidRDefault="004A78B2" w:rsidP="004A78B2">
      <w:pPr>
        <w:pStyle w:val="ad"/>
        <w:numPr>
          <w:ilvl w:val="0"/>
          <w:numId w:val="1"/>
        </w:numPr>
        <w:spacing w:line="360" w:lineRule="auto"/>
        <w:ind w:left="360"/>
        <w:jc w:val="both"/>
        <w:rPr>
          <w:rFonts w:ascii="David" w:hAnsi="David" w:cs="David"/>
          <w:sz w:val="24"/>
          <w:szCs w:val="24"/>
          <w:rtl/>
        </w:rPr>
      </w:pPr>
      <w:r>
        <w:rPr>
          <w:rFonts w:ascii="David" w:hAnsi="David" w:cs="David"/>
          <w:sz w:val="24"/>
          <w:szCs w:val="24"/>
          <w:rtl/>
        </w:rPr>
        <w:t xml:space="preserve">השאלה שבית המשפט נדרש לבחון, אפוא, בדונו בבקשה להפסקת תובענה הינה עד כמה מהווה הבקשה שימוש לרעה בהליכי משפט, וכן לבחון את מידת הפגיעה באינטרס הציבורי של בזבוז משאבי שיפוט והשחתת זמן שיפוטי. ברי כי מלאכת האיזון בין השיקולים הנוגדים נתונה בידי הערכאה אשר דנה בתיק (ע"א 2230/21 </w:t>
      </w:r>
      <w:proofErr w:type="spellStart"/>
      <w:r>
        <w:rPr>
          <w:rFonts w:ascii="David" w:hAnsi="David" w:cs="David"/>
          <w:b/>
          <w:bCs/>
          <w:sz w:val="24"/>
          <w:szCs w:val="24"/>
          <w:rtl/>
        </w:rPr>
        <w:t>אביזוהר</w:t>
      </w:r>
      <w:proofErr w:type="spellEnd"/>
      <w:r>
        <w:rPr>
          <w:rFonts w:ascii="David" w:hAnsi="David" w:cs="David"/>
          <w:b/>
          <w:bCs/>
          <w:sz w:val="24"/>
          <w:szCs w:val="24"/>
          <w:rtl/>
        </w:rPr>
        <w:t xml:space="preserve"> נ' </w:t>
      </w:r>
      <w:proofErr w:type="spellStart"/>
      <w:r>
        <w:rPr>
          <w:rFonts w:ascii="David" w:hAnsi="David" w:cs="David"/>
          <w:b/>
          <w:bCs/>
          <w:sz w:val="24"/>
          <w:szCs w:val="24"/>
          <w:rtl/>
        </w:rPr>
        <w:t>לוליאן</w:t>
      </w:r>
      <w:proofErr w:type="spellEnd"/>
      <w:r>
        <w:rPr>
          <w:rFonts w:ascii="David" w:hAnsi="David" w:cs="David"/>
          <w:sz w:val="24"/>
          <w:szCs w:val="24"/>
          <w:rtl/>
        </w:rPr>
        <w:t xml:space="preserve"> (פורסם בנבו, 30.5.2021), וההפניות שם). </w:t>
      </w:r>
    </w:p>
    <w:p w:rsidR="004A78B2" w:rsidRDefault="004A78B2" w:rsidP="004A78B2">
      <w:pPr>
        <w:pStyle w:val="ad"/>
        <w:numPr>
          <w:ilvl w:val="0"/>
          <w:numId w:val="1"/>
        </w:numPr>
        <w:spacing w:line="360" w:lineRule="auto"/>
        <w:ind w:left="360"/>
        <w:jc w:val="both"/>
        <w:rPr>
          <w:rFonts w:ascii="David" w:hAnsi="David" w:cs="David"/>
          <w:sz w:val="24"/>
          <w:szCs w:val="24"/>
          <w:rtl/>
        </w:rPr>
      </w:pPr>
      <w:r>
        <w:rPr>
          <w:rFonts w:ascii="David" w:hAnsi="David" w:cs="David"/>
          <w:sz w:val="24"/>
          <w:szCs w:val="24"/>
          <w:rtl/>
        </w:rPr>
        <w:t xml:space="preserve">עוד נקבע בעניין </w:t>
      </w:r>
      <w:r>
        <w:rPr>
          <w:rFonts w:ascii="David" w:hAnsi="David" w:cs="David"/>
          <w:b/>
          <w:bCs/>
          <w:sz w:val="24"/>
          <w:szCs w:val="24"/>
          <w:rtl/>
        </w:rPr>
        <w:t>משרד הבריאות</w:t>
      </w:r>
      <w:r>
        <w:rPr>
          <w:rFonts w:ascii="David" w:hAnsi="David" w:cs="David"/>
          <w:sz w:val="24"/>
          <w:szCs w:val="24"/>
          <w:rtl/>
        </w:rPr>
        <w:t xml:space="preserve"> כי, ברירת המחדל הקבועה בתקנה 41(ג) לתקנות סדר הדין האזרחי, לפיה הדיון בתובענה החדשה יתחדש מהשלב בו נמחקה התובענה הנוכחית, לצד האפשרות של בית המשפט להתנות את התנאים לחידוש התובענה, וכן הדין הכללי בעניין פסיקת הוצאות משפט, נותנים "</w:t>
      </w:r>
      <w:r>
        <w:rPr>
          <w:rFonts w:ascii="David" w:hAnsi="David" w:cs="David"/>
          <w:b/>
          <w:bCs/>
          <w:sz w:val="24"/>
          <w:szCs w:val="24"/>
          <w:rtl/>
        </w:rPr>
        <w:t>משקל לאינטרס הציבור בניצול יעיל של משאבי השיפוט, ויש בהם כדי להכווין התנהגות הצדדים</w:t>
      </w:r>
      <w:r>
        <w:rPr>
          <w:rFonts w:ascii="David" w:hAnsi="David" w:cs="David"/>
          <w:sz w:val="24"/>
          <w:szCs w:val="24"/>
          <w:rtl/>
        </w:rPr>
        <w:t>" (עניין</w:t>
      </w:r>
      <w:r>
        <w:rPr>
          <w:rFonts w:ascii="David" w:hAnsi="David" w:cs="David"/>
          <w:b/>
          <w:bCs/>
          <w:sz w:val="24"/>
          <w:szCs w:val="24"/>
          <w:rtl/>
        </w:rPr>
        <w:t xml:space="preserve"> משרד הבריאות</w:t>
      </w:r>
      <w:r>
        <w:rPr>
          <w:rFonts w:ascii="David" w:hAnsi="David" w:cs="David"/>
          <w:sz w:val="24"/>
          <w:szCs w:val="24"/>
          <w:rtl/>
        </w:rPr>
        <w:t xml:space="preserve">, בפסקה 8). </w:t>
      </w:r>
    </w:p>
    <w:p w:rsidR="004A78B2" w:rsidRDefault="004A78B2" w:rsidP="004A78B2">
      <w:pPr>
        <w:pStyle w:val="ad"/>
        <w:numPr>
          <w:ilvl w:val="0"/>
          <w:numId w:val="1"/>
        </w:numPr>
        <w:spacing w:line="360" w:lineRule="auto"/>
        <w:ind w:left="360"/>
        <w:jc w:val="both"/>
        <w:rPr>
          <w:rFonts w:ascii="David" w:hAnsi="David" w:cs="David"/>
          <w:sz w:val="24"/>
          <w:szCs w:val="24"/>
          <w:rtl/>
        </w:rPr>
      </w:pPr>
      <w:r>
        <w:rPr>
          <w:rFonts w:ascii="David" w:hAnsi="David" w:cs="David"/>
          <w:sz w:val="24"/>
          <w:szCs w:val="24"/>
          <w:rtl/>
        </w:rPr>
        <w:t xml:space="preserve">בפסק הדין שניתן בע"א 8416/22 </w:t>
      </w:r>
      <w:r>
        <w:rPr>
          <w:rFonts w:ascii="David" w:hAnsi="David" w:cs="David"/>
          <w:b/>
          <w:bCs/>
          <w:sz w:val="24"/>
          <w:szCs w:val="24"/>
          <w:rtl/>
        </w:rPr>
        <w:t xml:space="preserve">רמי </w:t>
      </w:r>
      <w:proofErr w:type="spellStart"/>
      <w:r>
        <w:rPr>
          <w:rFonts w:ascii="David" w:hAnsi="David" w:cs="David"/>
          <w:b/>
          <w:bCs/>
          <w:sz w:val="24"/>
          <w:szCs w:val="24"/>
          <w:rtl/>
        </w:rPr>
        <w:t>שבירו</w:t>
      </w:r>
      <w:proofErr w:type="spellEnd"/>
      <w:r>
        <w:rPr>
          <w:rFonts w:ascii="David" w:hAnsi="David" w:cs="David"/>
          <w:b/>
          <w:bCs/>
          <w:sz w:val="24"/>
          <w:szCs w:val="24"/>
          <w:rtl/>
        </w:rPr>
        <w:t xml:space="preserve"> הנדסה בניה והשקעות בע"מ נ' רשות מקרקעי ישראל</w:t>
      </w:r>
      <w:r>
        <w:rPr>
          <w:rFonts w:ascii="David" w:hAnsi="David" w:cs="David"/>
          <w:sz w:val="24"/>
          <w:szCs w:val="24"/>
          <w:rtl/>
        </w:rPr>
        <w:t xml:space="preserve"> (פורסם בנבו, 14.11.2023) (להלן: "</w:t>
      </w:r>
      <w:r>
        <w:rPr>
          <w:rFonts w:ascii="David" w:hAnsi="David" w:cs="David"/>
          <w:b/>
          <w:bCs/>
          <w:sz w:val="24"/>
          <w:szCs w:val="24"/>
          <w:rtl/>
        </w:rPr>
        <w:t xml:space="preserve">עניין </w:t>
      </w:r>
      <w:proofErr w:type="spellStart"/>
      <w:r>
        <w:rPr>
          <w:rFonts w:ascii="David" w:hAnsi="David" w:cs="David"/>
          <w:b/>
          <w:bCs/>
          <w:sz w:val="24"/>
          <w:szCs w:val="24"/>
          <w:rtl/>
        </w:rPr>
        <w:t>שבירו</w:t>
      </w:r>
      <w:proofErr w:type="spellEnd"/>
      <w:r>
        <w:rPr>
          <w:rFonts w:ascii="David" w:hAnsi="David" w:cs="David"/>
          <w:sz w:val="24"/>
          <w:szCs w:val="24"/>
          <w:rtl/>
        </w:rPr>
        <w:t xml:space="preserve">"), דן בית המשפט העליון במקרה שבו, יומיים לאחר שהתקיימה ישיבת הוכחות ונשמעו סיכומים בע"פ, הגישו המערערות (התובעות בהליך שהתנהל בבית המשפט המחוזי) הודעה קצרה לבית המשפט, בה הן הודיעו על מחיקת התביעה שבנדון, ואילו המשיבות (הנתבעות) עתרו מנגד לדחיית התביעה. באותו המקרה, הערכאה הדיונית מצאה </w:t>
      </w:r>
      <w:r>
        <w:rPr>
          <w:rFonts w:ascii="David" w:hAnsi="David" w:cs="David"/>
          <w:b/>
          <w:bCs/>
          <w:sz w:val="24"/>
          <w:szCs w:val="24"/>
          <w:u w:val="single"/>
          <w:rtl/>
        </w:rPr>
        <w:t>לדחות</w:t>
      </w:r>
      <w:r>
        <w:rPr>
          <w:rFonts w:ascii="David" w:hAnsi="David" w:cs="David"/>
          <w:sz w:val="24"/>
          <w:szCs w:val="24"/>
          <w:rtl/>
        </w:rPr>
        <w:t xml:space="preserve"> את התביעה חלף מחיקתה, וזאת מבלי שהמחלוקת הוכרעה לגופה. </w:t>
      </w:r>
    </w:p>
    <w:p w:rsidR="004A78B2" w:rsidRDefault="004A78B2" w:rsidP="004A78B2">
      <w:pPr>
        <w:pStyle w:val="ad"/>
        <w:numPr>
          <w:ilvl w:val="0"/>
          <w:numId w:val="1"/>
        </w:numPr>
        <w:spacing w:line="360" w:lineRule="auto"/>
        <w:ind w:left="360"/>
        <w:jc w:val="both"/>
        <w:rPr>
          <w:rFonts w:ascii="David" w:hAnsi="David" w:cs="David"/>
          <w:sz w:val="24"/>
          <w:szCs w:val="24"/>
        </w:rPr>
      </w:pPr>
      <w:r>
        <w:rPr>
          <w:rFonts w:ascii="David" w:hAnsi="David" w:cs="David"/>
          <w:sz w:val="24"/>
          <w:szCs w:val="24"/>
          <w:rtl/>
        </w:rPr>
        <w:t xml:space="preserve">בפסק דינו של כבוד השופט (כתוארו אז) </w:t>
      </w:r>
      <w:r>
        <w:rPr>
          <w:rFonts w:ascii="David" w:hAnsi="David" w:cs="David" w:hint="cs"/>
          <w:sz w:val="24"/>
          <w:szCs w:val="24"/>
          <w:rtl/>
        </w:rPr>
        <w:t xml:space="preserve">י' </w:t>
      </w:r>
      <w:r>
        <w:rPr>
          <w:rFonts w:ascii="David" w:hAnsi="David" w:cs="David"/>
          <w:sz w:val="24"/>
          <w:szCs w:val="24"/>
          <w:rtl/>
        </w:rPr>
        <w:t xml:space="preserve">עמית, נקבע, כי בשעה שמונחת בפני בית המשפט בקשה להפסקת תובענה על רקע שימוש לרעה בהליכי משפט, דרך המלך היא הפסקת התובענה על דרך מחיקתה, תוך הצבת תנאים וחיוב התובע בהוצאות לטובת הנפגע או לטובת אוצר המדינה, ולחילופין, דחיית הבקשה להפסקת תובענה והמשך ניהול ההליך (עניין </w:t>
      </w:r>
      <w:proofErr w:type="spellStart"/>
      <w:r>
        <w:rPr>
          <w:rFonts w:ascii="David" w:hAnsi="David" w:cs="David"/>
          <w:b/>
          <w:bCs/>
          <w:sz w:val="24"/>
          <w:szCs w:val="24"/>
          <w:rtl/>
        </w:rPr>
        <w:t>שבירו</w:t>
      </w:r>
      <w:proofErr w:type="spellEnd"/>
      <w:r>
        <w:rPr>
          <w:rFonts w:ascii="David" w:hAnsi="David" w:cs="David"/>
          <w:sz w:val="24"/>
          <w:szCs w:val="24"/>
          <w:rtl/>
        </w:rPr>
        <w:t xml:space="preserve">, בפסקה 15 לפסק דינו של כבוד השופט (כתוארו אז) </w:t>
      </w:r>
      <w:r>
        <w:rPr>
          <w:rFonts w:ascii="David" w:hAnsi="David" w:cs="David" w:hint="cs"/>
          <w:sz w:val="24"/>
          <w:szCs w:val="24"/>
          <w:rtl/>
        </w:rPr>
        <w:t xml:space="preserve">י' </w:t>
      </w:r>
      <w:r>
        <w:rPr>
          <w:rFonts w:ascii="David" w:hAnsi="David" w:cs="David"/>
          <w:sz w:val="24"/>
          <w:szCs w:val="24"/>
          <w:rtl/>
        </w:rPr>
        <w:t xml:space="preserve">עמית). </w:t>
      </w:r>
    </w:p>
    <w:p w:rsidR="004A78B2" w:rsidRDefault="004A78B2" w:rsidP="004A78B2">
      <w:pPr>
        <w:pStyle w:val="ad"/>
        <w:numPr>
          <w:ilvl w:val="0"/>
          <w:numId w:val="1"/>
        </w:numPr>
        <w:spacing w:line="360" w:lineRule="auto"/>
        <w:ind w:left="360"/>
        <w:jc w:val="both"/>
        <w:rPr>
          <w:rFonts w:ascii="David" w:hAnsi="David" w:cs="David"/>
          <w:sz w:val="24"/>
          <w:szCs w:val="24"/>
        </w:rPr>
      </w:pPr>
      <w:r>
        <w:rPr>
          <w:rFonts w:ascii="David" w:hAnsi="David" w:cs="David"/>
          <w:sz w:val="24"/>
          <w:szCs w:val="24"/>
          <w:rtl/>
        </w:rPr>
        <w:t>עם זאת, בנסיבות העניין שנדון שם, נקבע כי מדובר בנסיבות חריגות וקיצוניות שבהן ראוי ונכון היה לדחות את התובענה, לפי תקנה 43 לתקנות סדר הדין האזרחי, וזאת משום שהמערערות ניסו באופן גלוי ושקוף להתחמק מתוצאות ההליך תוך ניסיון לעשות "</w:t>
      </w:r>
      <w:r>
        <w:rPr>
          <w:rFonts w:ascii="David" w:hAnsi="David" w:cs="David"/>
          <w:sz w:val="24"/>
          <w:szCs w:val="24"/>
        </w:rPr>
        <w:t>forum shopping</w:t>
      </w:r>
      <w:r>
        <w:rPr>
          <w:rFonts w:ascii="David" w:hAnsi="David" w:cs="David"/>
          <w:sz w:val="24"/>
          <w:szCs w:val="24"/>
          <w:rtl/>
        </w:rPr>
        <w:t xml:space="preserve">" מיד לאחר מחיקת התובענה, ובשים לב לכך שהן הסתפקו בבקשה לקונית וקצרה למחוק את התובענה. בנסיבות אלה, מצאו שלושת שופטי הרכב בית המשפט העליון כי מדובר במקרה חריג לכל הדעות, ובניסיון להתחמק ממתן פסק דין ע"י המותב שסיים לשמוע את התיק. </w:t>
      </w:r>
    </w:p>
    <w:p w:rsidR="004A78B2" w:rsidRDefault="004A78B2" w:rsidP="004A78B2">
      <w:pPr>
        <w:pStyle w:val="ad"/>
        <w:numPr>
          <w:ilvl w:val="0"/>
          <w:numId w:val="1"/>
        </w:numPr>
        <w:spacing w:line="360" w:lineRule="auto"/>
        <w:ind w:left="360"/>
        <w:jc w:val="both"/>
        <w:rPr>
          <w:rFonts w:ascii="David" w:hAnsi="David" w:cs="David"/>
          <w:sz w:val="24"/>
          <w:szCs w:val="24"/>
        </w:rPr>
      </w:pPr>
      <w:r>
        <w:rPr>
          <w:rFonts w:ascii="David" w:hAnsi="David" w:cs="David"/>
          <w:sz w:val="24"/>
          <w:szCs w:val="24"/>
          <w:rtl/>
        </w:rPr>
        <w:t xml:space="preserve">למען שלמות התמונה יצוין, כי בעניין </w:t>
      </w:r>
      <w:proofErr w:type="spellStart"/>
      <w:r>
        <w:rPr>
          <w:rFonts w:ascii="David" w:hAnsi="David" w:cs="David"/>
          <w:b/>
          <w:bCs/>
          <w:sz w:val="24"/>
          <w:szCs w:val="24"/>
          <w:rtl/>
        </w:rPr>
        <w:t>שבירו</w:t>
      </w:r>
      <w:proofErr w:type="spellEnd"/>
      <w:r>
        <w:rPr>
          <w:rFonts w:ascii="David" w:hAnsi="David" w:cs="David"/>
          <w:sz w:val="24"/>
          <w:szCs w:val="24"/>
          <w:rtl/>
        </w:rPr>
        <w:t xml:space="preserve"> הנ"ל נותרה </w:t>
      </w:r>
      <w:proofErr w:type="spellStart"/>
      <w:r>
        <w:rPr>
          <w:rFonts w:ascii="David" w:hAnsi="David" w:cs="David"/>
          <w:sz w:val="24"/>
          <w:szCs w:val="24"/>
          <w:rtl/>
        </w:rPr>
        <w:t>בצריך</w:t>
      </w:r>
      <w:proofErr w:type="spellEnd"/>
      <w:r>
        <w:rPr>
          <w:rFonts w:ascii="David" w:hAnsi="David" w:cs="David"/>
          <w:sz w:val="24"/>
          <w:szCs w:val="24"/>
          <w:rtl/>
        </w:rPr>
        <w:t xml:space="preserve"> עיון השאלה האם ניתן לדחות תביעה מחמת שימוש לרעה בהליכי משפט, שעה שתקנה 42 לתקנות סדר הדין האזרחי הכירה </w:t>
      </w:r>
      <w:r>
        <w:rPr>
          <w:rFonts w:ascii="David" w:hAnsi="David" w:cs="David"/>
          <w:sz w:val="24"/>
          <w:szCs w:val="24"/>
          <w:rtl/>
        </w:rPr>
        <w:lastRenderedPageBreak/>
        <w:t xml:space="preserve">בסעד של מחיקת כתב טענות מחמת שימוש לרעה בהליכי משפט, ואילו לפי הסיפא לתקנה 43 לתקנות סדר הדין האזרחי ניתן לדחות תובענה "מכל נימוק אחר". מכל מקום, כפי שינומק להלן, סבורני כי במקרה דנן יש להורות על מחיקת התובענה ולא על דחייתה, ומשכך אינני נדרשת להכרעה בעניין זה.  </w:t>
      </w:r>
    </w:p>
    <w:p w:rsidR="004A78B2" w:rsidRDefault="004A78B2" w:rsidP="004A78B2">
      <w:pPr>
        <w:pStyle w:val="ad"/>
        <w:numPr>
          <w:ilvl w:val="0"/>
          <w:numId w:val="1"/>
        </w:numPr>
        <w:spacing w:line="360" w:lineRule="auto"/>
        <w:ind w:left="360"/>
        <w:jc w:val="both"/>
        <w:rPr>
          <w:rFonts w:ascii="David" w:hAnsi="David" w:cs="David"/>
          <w:sz w:val="24"/>
          <w:szCs w:val="24"/>
        </w:rPr>
      </w:pPr>
      <w:r>
        <w:rPr>
          <w:rFonts w:ascii="David" w:hAnsi="David" w:cs="David"/>
          <w:sz w:val="24"/>
          <w:szCs w:val="24"/>
          <w:rtl/>
        </w:rPr>
        <w:t xml:space="preserve">הנה כי כן, כאשר מונחת בפני בית המשפט בקשה להפסקת תובענה, על דרך הכלל, יפסע בית המשפט באחד משני מסלולים: האחד, דחיית הבקשה להפסקת תובענה תוך המשך ניהול ההליך; והשני, קבלת הבקשה להפסקת תובענה על דרך מחיקתה, תוך קביעת התנאים לחידוש ההליכים ובחינת החיוב בהוצאות משפט, לאחר איזון השיקולים השונים בדבר שימוש לרעה בהליכי משפט, והאינטרס הציבורי. במקרים חריגים וקיצוניים ביותר, יורה בית המשפט על דחיית התובענה במסגרת בקשה להפסקתה, אך כאמור, אפשרות זו שמורה למקרי "קצה" בלבד, ויש לעשות בה שימוש במשורה.   </w:t>
      </w:r>
    </w:p>
    <w:p w:rsidR="004A78B2" w:rsidRDefault="004A78B2" w:rsidP="004A78B2">
      <w:pPr>
        <w:spacing w:line="360" w:lineRule="auto"/>
        <w:jc w:val="both"/>
        <w:rPr>
          <w:rFonts w:ascii="David" w:hAnsi="David"/>
          <w:b/>
          <w:bCs/>
          <w:u w:val="single"/>
        </w:rPr>
      </w:pPr>
      <w:r>
        <w:rPr>
          <w:rFonts w:ascii="David" w:hAnsi="David"/>
          <w:b/>
          <w:bCs/>
          <w:u w:val="single"/>
          <w:rtl/>
        </w:rPr>
        <w:t>מן הכלל אל הפרט</w:t>
      </w:r>
    </w:p>
    <w:p w:rsidR="004A78B2" w:rsidRDefault="004A78B2" w:rsidP="004A78B2">
      <w:pPr>
        <w:spacing w:line="360" w:lineRule="auto"/>
        <w:jc w:val="both"/>
        <w:rPr>
          <w:rFonts w:ascii="David" w:hAnsi="David"/>
          <w:b/>
          <w:bCs/>
          <w:u w:val="single"/>
          <w:rtl/>
        </w:rPr>
      </w:pPr>
    </w:p>
    <w:p w:rsidR="004A78B2" w:rsidRDefault="004A78B2" w:rsidP="004A78B2">
      <w:pPr>
        <w:pStyle w:val="ad"/>
        <w:numPr>
          <w:ilvl w:val="0"/>
          <w:numId w:val="1"/>
        </w:numPr>
        <w:spacing w:line="360" w:lineRule="auto"/>
        <w:ind w:left="360"/>
        <w:jc w:val="both"/>
        <w:rPr>
          <w:rFonts w:ascii="David" w:hAnsi="David" w:cs="David"/>
          <w:sz w:val="24"/>
          <w:szCs w:val="24"/>
        </w:rPr>
      </w:pPr>
      <w:r>
        <w:rPr>
          <w:rFonts w:ascii="David" w:hAnsi="David" w:cs="David"/>
          <w:sz w:val="24"/>
          <w:szCs w:val="24"/>
          <w:rtl/>
        </w:rPr>
        <w:t xml:space="preserve">במקרה דנן, בחינת השיקולים השונים מובילה למסקנה כי יש להיעתר לבקשת התובעת להפסקת התובענה על דרך מחיקתה, תוך חיובה בהוצאות נוכח התנהלותה בחוסר תום לב מובהק ותוך שימוש לרעה בהליכי משפט. עם זאת, אינני סבורה כי מדובר במקרה חריג וקיצוני המצדיק לדחות את התובענה, ביתר שאת, מקום בו דחיית התובענה יכולה להוביל להכרעות משפטיות סותרות, כפי </w:t>
      </w:r>
      <w:proofErr w:type="spellStart"/>
      <w:r>
        <w:rPr>
          <w:rFonts w:ascii="David" w:hAnsi="David" w:cs="David"/>
          <w:sz w:val="24"/>
          <w:szCs w:val="24"/>
          <w:rtl/>
        </w:rPr>
        <w:t>שיבוהר</w:t>
      </w:r>
      <w:proofErr w:type="spellEnd"/>
      <w:r>
        <w:rPr>
          <w:rFonts w:ascii="David" w:hAnsi="David" w:cs="David"/>
          <w:sz w:val="24"/>
          <w:szCs w:val="24"/>
          <w:rtl/>
        </w:rPr>
        <w:t xml:space="preserve"> להלן. </w:t>
      </w:r>
    </w:p>
    <w:p w:rsidR="004A78B2" w:rsidRDefault="004A78B2" w:rsidP="004A78B2">
      <w:pPr>
        <w:pStyle w:val="ad"/>
        <w:numPr>
          <w:ilvl w:val="0"/>
          <w:numId w:val="1"/>
        </w:numPr>
        <w:spacing w:line="360" w:lineRule="auto"/>
        <w:ind w:left="360"/>
        <w:jc w:val="both"/>
        <w:rPr>
          <w:rFonts w:ascii="David" w:hAnsi="David" w:cs="David"/>
          <w:sz w:val="24"/>
          <w:szCs w:val="24"/>
        </w:rPr>
      </w:pPr>
      <w:r>
        <w:rPr>
          <w:rFonts w:ascii="David" w:hAnsi="David" w:cs="David"/>
          <w:sz w:val="24"/>
          <w:szCs w:val="24"/>
          <w:rtl/>
        </w:rPr>
        <w:t xml:space="preserve">אין מחלוקת כי התובענה דנן, במסגרתה עתרה התובעת כי ייקבע שהדירה הרשומה על שם התובעת והנתבע 1 הינה בבעלותה מכוח ההסכם המוקדם, הוגשה תחילה במסגרת הליך חדלות הפירעון של הנתבע 1, כאשר גם במסגרת ההליך שנדון שם לא ציינה התובעת כי הסעד המבוקש הוענק לה במסגרת פסק הדין (שניתן ע"י בית הדין הרבני), שנתן תוקף להסכם המאוחר, לפיו הדירה תועבר בשלמותה לתובעת.  </w:t>
      </w:r>
    </w:p>
    <w:p w:rsidR="004A78B2" w:rsidRDefault="004A78B2" w:rsidP="004A78B2">
      <w:pPr>
        <w:pStyle w:val="ad"/>
        <w:numPr>
          <w:ilvl w:val="0"/>
          <w:numId w:val="1"/>
        </w:numPr>
        <w:spacing w:line="360" w:lineRule="auto"/>
        <w:ind w:left="360"/>
        <w:jc w:val="both"/>
        <w:rPr>
          <w:rFonts w:ascii="David" w:hAnsi="David" w:cs="David"/>
          <w:sz w:val="24"/>
          <w:szCs w:val="24"/>
        </w:rPr>
      </w:pPr>
      <w:r>
        <w:rPr>
          <w:rFonts w:ascii="David" w:hAnsi="David" w:cs="David"/>
          <w:sz w:val="24"/>
          <w:szCs w:val="24"/>
          <w:rtl/>
        </w:rPr>
        <w:t xml:space="preserve">לאחר שבית המשפט, שדן בהליך חדלות הפירעון, הורה לתובעת להגיש תובענה מתאימה בעניין הסכם טרום הנישואין לבית המשפט לענייני משפחה, הוגשה התובענה דנן ביום 4.5.2023, כאשר גם במסגרתה לא הוזכרו ההסכם המאוחר, או פסק הדין של בית הדין הרבני. בהמשך, רק לאחר שניתנו שתי החלטות שיפוטיות מפורשות (החלטה מיום 9.6.2024 והחלטה מיום 7.7.2024), הגישה התובעת את ההסכם המאוחר ואת פסק הדין במסגרת התצהיר מטעמה. </w:t>
      </w:r>
    </w:p>
    <w:p w:rsidR="004A78B2" w:rsidRDefault="004A78B2" w:rsidP="004A78B2">
      <w:pPr>
        <w:pStyle w:val="ad"/>
        <w:numPr>
          <w:ilvl w:val="0"/>
          <w:numId w:val="1"/>
        </w:numPr>
        <w:spacing w:line="360" w:lineRule="auto"/>
        <w:ind w:left="360"/>
        <w:jc w:val="both"/>
        <w:rPr>
          <w:rFonts w:ascii="David" w:hAnsi="David" w:cs="David"/>
          <w:sz w:val="24"/>
          <w:szCs w:val="24"/>
        </w:rPr>
      </w:pPr>
      <w:r>
        <w:rPr>
          <w:rFonts w:ascii="David" w:hAnsi="David" w:cs="David"/>
          <w:sz w:val="24"/>
          <w:szCs w:val="24"/>
          <w:rtl/>
        </w:rPr>
        <w:t xml:space="preserve">בדיון שנערך ביום 19.9.2024, הסבירה ב"כ התובעת כי פסק הדין שניתן בבית הדין הרבני ניתן בסמוך לתחילת הליכי חדלות הפירעון של הנתבע 1, ומשכך הנחת היסוד שלה הייתה שבית המשפט של חדלות פירעון לא יקבל את פסק הדין ויבטל את ההענקה (פרוטוקול הדיון, עמ' 6 שורות 19-20). התובעת ניסתה, אפוא, לעקוף את "המהמורה" המשפטית שניצבה בפניה נוכח סמיכות הזמנים בין פסק הדין שנתן תוקף להסכם המאוחר, לבין פתיחת הליכי חדלות הפירעון של הנתבע 1, וזאת בדרך של הגשת התביעה דנן לסעד הצהרתי מכוח ההסכם המוקדם. </w:t>
      </w:r>
    </w:p>
    <w:p w:rsidR="004A78B2" w:rsidRDefault="004A78B2" w:rsidP="004A78B2">
      <w:pPr>
        <w:pStyle w:val="ad"/>
        <w:numPr>
          <w:ilvl w:val="0"/>
          <w:numId w:val="1"/>
        </w:numPr>
        <w:spacing w:line="360" w:lineRule="auto"/>
        <w:ind w:left="360"/>
        <w:jc w:val="both"/>
        <w:rPr>
          <w:rFonts w:ascii="David" w:hAnsi="David" w:cs="David"/>
          <w:sz w:val="24"/>
          <w:szCs w:val="24"/>
        </w:rPr>
      </w:pPr>
      <w:r>
        <w:rPr>
          <w:rFonts w:ascii="David" w:hAnsi="David" w:cs="David"/>
          <w:sz w:val="24"/>
          <w:szCs w:val="24"/>
          <w:rtl/>
        </w:rPr>
        <w:lastRenderedPageBreak/>
        <w:t xml:space="preserve">ואולם, התובעת עשתה כן תוך הסתרת פסק הדין וההסכם המאוחר מבית משפט זה, והצגת המסד העובדתי באופן חלקי, וזאת כאשר בעת הגשת התביעה התובעת כבר אחזה בידיה פסק דין שהעניק לה סעד הזהה לסעד שהתבקש במסגרת התובענה שבפני. </w:t>
      </w:r>
      <w:r>
        <w:rPr>
          <w:rFonts w:ascii="David" w:hAnsi="David" w:cs="David"/>
          <w:b/>
          <w:bCs/>
          <w:sz w:val="24"/>
          <w:szCs w:val="24"/>
          <w:rtl/>
        </w:rPr>
        <w:t>לא יכולה להיות מחלוקת כי התנהלות זו מהווה התנהלות בחוסר תום לב מוחלט, תוך ניצול לרעה של הליכי משפט.</w:t>
      </w:r>
      <w:r>
        <w:rPr>
          <w:rFonts w:ascii="David" w:hAnsi="David" w:cs="David"/>
          <w:sz w:val="24"/>
          <w:szCs w:val="24"/>
          <w:rtl/>
        </w:rPr>
        <w:t xml:space="preserve"> לאחר שהתבררה התנהלות זו, עתרה התובעת למחיקת התובענה, באופן שיאפשר לה למצות את טענותיה בבית המשפט שדן בהליכי חדלות הפירעון של הנתבע 1 (פרוטוקול הדיון מיום 19.9.2024, עמ' 6, ש. 34-35). </w:t>
      </w:r>
    </w:p>
    <w:p w:rsidR="004A78B2" w:rsidRDefault="004A78B2" w:rsidP="004A78B2">
      <w:pPr>
        <w:pStyle w:val="ad"/>
        <w:numPr>
          <w:ilvl w:val="0"/>
          <w:numId w:val="1"/>
        </w:numPr>
        <w:spacing w:line="360" w:lineRule="auto"/>
        <w:ind w:left="360"/>
        <w:jc w:val="both"/>
        <w:rPr>
          <w:rFonts w:ascii="David" w:hAnsi="David" w:cs="David"/>
          <w:sz w:val="24"/>
          <w:szCs w:val="24"/>
        </w:rPr>
      </w:pPr>
      <w:r>
        <w:rPr>
          <w:rFonts w:ascii="David" w:hAnsi="David" w:cs="David"/>
          <w:sz w:val="24"/>
          <w:szCs w:val="24"/>
          <w:rtl/>
        </w:rPr>
        <w:t xml:space="preserve">מכאן לשיקולים השונים שיש לבחון בבחינת בקשה להפסקת התובענה על דרך מחיקתה. מחד, אם תוגש התובענה בשנית לבית המשפט של חדלות פירעון, כפי שהתובעת טענה שבכוונתה לעשות כאמור, הרי שיהיה בכך כדי לגרום לבזבוז משאבים שיפוטיים, ופגיעה באינטרס הציבורי אגב כך. כמו כן, יהיה בכך כדי להוות שימוש לרעה בהליכי משפט, הן בשל "הדילוג" בין המותבים השיפוטיים השונים לבחירתה של התובעת (המעבר מבית הדין הרבני; לבית המשפט של חדלות הפירעון; לבית משפט לענייני משפחה; וחזרה לבית משפט של חדלות פירעון), והן בשל האפשרות של התובעת לעשות "מקצה שיפורים" בין התביעות השונות שהוגשו על ידה בעניין זכויותיה בדירה. </w:t>
      </w:r>
    </w:p>
    <w:p w:rsidR="004A78B2" w:rsidRDefault="004A78B2" w:rsidP="004A78B2">
      <w:pPr>
        <w:pStyle w:val="ad"/>
        <w:numPr>
          <w:ilvl w:val="0"/>
          <w:numId w:val="1"/>
        </w:numPr>
        <w:spacing w:line="360" w:lineRule="auto"/>
        <w:ind w:left="360"/>
        <w:jc w:val="both"/>
        <w:rPr>
          <w:rFonts w:ascii="David" w:hAnsi="David" w:cs="David"/>
          <w:sz w:val="24"/>
          <w:szCs w:val="24"/>
        </w:rPr>
      </w:pPr>
      <w:r>
        <w:rPr>
          <w:rFonts w:ascii="David" w:hAnsi="David" w:cs="David"/>
          <w:sz w:val="24"/>
          <w:szCs w:val="24"/>
          <w:rtl/>
        </w:rPr>
        <w:t xml:space="preserve">מאידך, בשעה שבית המשפט שדן בהליכי חדלות הפירעון כבר מצוי בפרטים (שכן, כאמור, העניין הובא בפניו עוד בטרם הוגשה התובענה לבית המשפט דנן); בשעה שיש לשקול גם את זכותה של התובעת לקבל את יומה בבית המשפט לנסות להוכיח את טענותיה ביחס לזכויותיה בדירה מכוח ההסכם המוקדם ו/או ההסכם המאוחר; ובשים לב לשלב הדיוני שבו עתרה התובעת למחיקת התובענה שבפניי, עוד בטרם התקיים דיון הוכחות - הרי שבאיזון בין מכלול השיקולים, סבורני כי יש להיעתר לבקשה להפסקת התובענה בדרך של מחיקתה, כאשר אין מדובר במקרה "קצה" המצדיק דחייה על הסף של התובענה. </w:t>
      </w:r>
    </w:p>
    <w:p w:rsidR="004A78B2" w:rsidRDefault="004A78B2" w:rsidP="004A78B2">
      <w:pPr>
        <w:pStyle w:val="ad"/>
        <w:numPr>
          <w:ilvl w:val="0"/>
          <w:numId w:val="1"/>
        </w:numPr>
        <w:spacing w:line="360" w:lineRule="auto"/>
        <w:ind w:left="360"/>
        <w:jc w:val="both"/>
        <w:rPr>
          <w:rFonts w:ascii="David" w:hAnsi="David" w:cs="David"/>
          <w:sz w:val="24"/>
          <w:szCs w:val="24"/>
        </w:rPr>
      </w:pPr>
      <w:r>
        <w:rPr>
          <w:rFonts w:ascii="David" w:hAnsi="David" w:cs="David"/>
          <w:sz w:val="24"/>
          <w:szCs w:val="24"/>
          <w:rtl/>
        </w:rPr>
        <w:t>עוד יצוין, כי לו היה בית המשפט נעתר לבקשת הנאמן לדחות את התובענה על הסף, הרי ש</w:t>
      </w:r>
      <w:r w:rsidR="00DF425B">
        <w:rPr>
          <w:rFonts w:ascii="David" w:hAnsi="David" w:cs="David" w:hint="cs"/>
          <w:sz w:val="24"/>
          <w:szCs w:val="24"/>
          <w:rtl/>
        </w:rPr>
        <w:t xml:space="preserve">לכאורה </w:t>
      </w:r>
      <w:r>
        <w:rPr>
          <w:rFonts w:ascii="David" w:hAnsi="David" w:cs="David"/>
          <w:sz w:val="24"/>
          <w:szCs w:val="24"/>
          <w:rtl/>
        </w:rPr>
        <w:t>הייתה ניתנת החלטה שיפוטית הסותרת את פסק הדין שניתן ע"י בית הדין הרבני. זאת משום שדחיית התובענה על הסף משמעותה דחיית עתירתה של התובעת לסעד הצהרתי שהדירה בבעלותה בלבד, וזאת בניגוד לפסק הדין שניתן ע"י כבוד בית הדין הרבני, שקבע כי הדירה היא בבעלות התובעת בלבד, על יסוד מתן תוקף להסכם הממון המאוחר.</w:t>
      </w:r>
    </w:p>
    <w:p w:rsidR="00DF425B" w:rsidRDefault="004A78B2" w:rsidP="004A78B2">
      <w:pPr>
        <w:pStyle w:val="ad"/>
        <w:numPr>
          <w:ilvl w:val="0"/>
          <w:numId w:val="1"/>
        </w:numPr>
        <w:spacing w:line="360" w:lineRule="auto"/>
        <w:ind w:left="360"/>
        <w:jc w:val="both"/>
        <w:rPr>
          <w:rFonts w:ascii="David" w:hAnsi="David" w:cs="David"/>
          <w:sz w:val="24"/>
          <w:szCs w:val="24"/>
        </w:rPr>
      </w:pPr>
      <w:r>
        <w:rPr>
          <w:rFonts w:ascii="David" w:hAnsi="David" w:cs="David"/>
          <w:sz w:val="24"/>
          <w:szCs w:val="24"/>
          <w:rtl/>
        </w:rPr>
        <w:t xml:space="preserve">נוכח כל אשר פורט לעיל, ובראי ההלכה המשפטית כפי שהובאה בהרחבה, אני מורה על הפסקת התובענה בדרך של מחיקתה, לפי תקנה 44 לתקנות סדר הדין האזרחי. </w:t>
      </w:r>
    </w:p>
    <w:p w:rsidR="004A78B2" w:rsidRDefault="004A78B2" w:rsidP="004A78B2">
      <w:pPr>
        <w:pStyle w:val="ad"/>
        <w:numPr>
          <w:ilvl w:val="0"/>
          <w:numId w:val="1"/>
        </w:numPr>
        <w:spacing w:line="360" w:lineRule="auto"/>
        <w:ind w:left="360"/>
        <w:jc w:val="both"/>
        <w:rPr>
          <w:rFonts w:ascii="David" w:hAnsi="David" w:cs="David"/>
          <w:sz w:val="24"/>
          <w:szCs w:val="24"/>
        </w:rPr>
      </w:pPr>
      <w:r>
        <w:rPr>
          <w:rFonts w:ascii="David" w:hAnsi="David" w:cs="David"/>
          <w:sz w:val="24"/>
          <w:szCs w:val="24"/>
          <w:rtl/>
        </w:rPr>
        <w:t xml:space="preserve">בהתאם לתקנה 41(ג) לתקנות סדר הדין האזרחי, מצאתי לקבוע, כי מקום שהתובעת תבקש לחדש את ההליכים, אזי התובענה תחל מראשיתה ולא מהשלב בו הופסקה בפני, בניגוד לברירת המחדל הקבועה בתקנה 41(ג)(1) לתקנות סדר הדין האזרחי, וזאת משום שלאחר שהתגלה </w:t>
      </w:r>
      <w:r w:rsidR="00DF425B">
        <w:rPr>
          <w:rFonts w:ascii="David" w:hAnsi="David" w:cs="David" w:hint="cs"/>
          <w:sz w:val="24"/>
          <w:szCs w:val="24"/>
          <w:rtl/>
        </w:rPr>
        <w:t xml:space="preserve">דבר קיומו של </w:t>
      </w:r>
      <w:r>
        <w:rPr>
          <w:rFonts w:ascii="David" w:hAnsi="David" w:cs="David"/>
          <w:sz w:val="24"/>
          <w:szCs w:val="24"/>
          <w:rtl/>
        </w:rPr>
        <w:t xml:space="preserve">ההסכם המאוחר, לא ניתן לדון בתובענה כפי שהוגשה, מבלי להתייחס ליחס בין שני ההסכמים (ככל שיתברר כי ההסכם המוקדם אכן נערך כדין). כמו כן, בהתאם לתקנה 41(ג)(2) לתקנות סדר </w:t>
      </w:r>
      <w:r>
        <w:rPr>
          <w:rFonts w:ascii="David" w:hAnsi="David" w:cs="David"/>
          <w:sz w:val="24"/>
          <w:szCs w:val="24"/>
          <w:rtl/>
        </w:rPr>
        <w:lastRenderedPageBreak/>
        <w:t xml:space="preserve">הדין האזרחי, אני מורה כי ככל שתוגש תובענה חדשה כאמור, תהא התובעת חייבת בהצגת מלוא המסד העובדתי הנדרש, לרבות הצגת פסק הדין של בית הדין הרבני וההסכם המאוחר; הצגת החלטתי זו בפני הערכאה המבררת; וכן תהא חייבת בגילוי מלא של ההליכים שיתקיימו במסגרת הליכי </w:t>
      </w:r>
      <w:proofErr w:type="spellStart"/>
      <w:r>
        <w:rPr>
          <w:rFonts w:ascii="David" w:hAnsi="David" w:cs="David"/>
          <w:sz w:val="24"/>
          <w:szCs w:val="24"/>
          <w:rtl/>
        </w:rPr>
        <w:t>החדל"פ</w:t>
      </w:r>
      <w:proofErr w:type="spellEnd"/>
      <w:r>
        <w:rPr>
          <w:rFonts w:ascii="David" w:hAnsi="David" w:cs="David"/>
          <w:sz w:val="24"/>
          <w:szCs w:val="24"/>
          <w:rtl/>
        </w:rPr>
        <w:t xml:space="preserve">. </w:t>
      </w:r>
    </w:p>
    <w:p w:rsidR="004A78B2" w:rsidRDefault="004A78B2" w:rsidP="004A78B2">
      <w:pPr>
        <w:pStyle w:val="ad"/>
        <w:numPr>
          <w:ilvl w:val="0"/>
          <w:numId w:val="1"/>
        </w:numPr>
        <w:spacing w:line="360" w:lineRule="auto"/>
        <w:ind w:left="360"/>
        <w:jc w:val="both"/>
        <w:rPr>
          <w:rFonts w:ascii="David" w:hAnsi="David" w:cs="David"/>
          <w:sz w:val="24"/>
          <w:szCs w:val="24"/>
        </w:rPr>
      </w:pPr>
      <w:r>
        <w:rPr>
          <w:rFonts w:ascii="David" w:hAnsi="David" w:cs="David"/>
          <w:sz w:val="24"/>
          <w:szCs w:val="24"/>
          <w:rtl/>
        </w:rPr>
        <w:t xml:space="preserve">אשר לשאלת ההוצאות שיושתו על התובעת נוכח התנהלותה. כאמור לעיל, בקביעת ההוצאות יש להביא לידי ביטוי את הפגיעה באינטרס הציבור בניצול לא יעיל של משאבי משפט נוכח התנהגות חסרת תום הלב של התובעת, וכן כדי להכווין את התנהגות הצדדים לעתיד. זאת, בשעה שבמקרה דנן הסתירה התובעת בחוסר תום לב מוחלט את פסק הדין, במשך פרק זמן ממושך, ובאופן שהביא להתארכות סרק של ההליך. לצד זאת, שקלתי גם את נסיבותיה האישיות של התובעת, שטענה בפני כי היא מפרנסת יחידה, כאשר הנתבע 1 הסתיר ממנה את חובותיו הרבים, והמיט עליה אסון כלכלי. בשקלול מכלול השיקולים, מצאתי לחייב את התובעת בהוצאות הנאמן בסך 7,000 ₪, ובהוצאות לטובת אוצר המדינה בסך 3,000 ₪. </w:t>
      </w:r>
    </w:p>
    <w:p w:rsidR="004A78B2" w:rsidRDefault="004A78B2" w:rsidP="004A78B2">
      <w:pPr>
        <w:pStyle w:val="ad"/>
        <w:numPr>
          <w:ilvl w:val="0"/>
          <w:numId w:val="1"/>
        </w:numPr>
        <w:spacing w:line="360" w:lineRule="auto"/>
        <w:ind w:left="360"/>
        <w:jc w:val="both"/>
        <w:rPr>
          <w:rFonts w:ascii="David" w:hAnsi="David" w:cs="David"/>
          <w:sz w:val="24"/>
          <w:szCs w:val="24"/>
        </w:rPr>
      </w:pPr>
      <w:r>
        <w:rPr>
          <w:rFonts w:ascii="David" w:hAnsi="David" w:cs="David"/>
          <w:sz w:val="24"/>
          <w:szCs w:val="24"/>
          <w:rtl/>
        </w:rPr>
        <w:t xml:space="preserve">מותר לפרסום במאגרים </w:t>
      </w:r>
      <w:r w:rsidR="00DF425B">
        <w:rPr>
          <w:rFonts w:ascii="David" w:hAnsi="David" w:cs="David" w:hint="cs"/>
          <w:sz w:val="24"/>
          <w:szCs w:val="24"/>
          <w:rtl/>
        </w:rPr>
        <w:t xml:space="preserve">משפטיים, </w:t>
      </w:r>
      <w:r>
        <w:rPr>
          <w:rFonts w:ascii="David" w:hAnsi="David" w:cs="David"/>
          <w:sz w:val="24"/>
          <w:szCs w:val="24"/>
          <w:rtl/>
        </w:rPr>
        <w:t xml:space="preserve">בהשמטת פרטים מזהים. </w:t>
      </w:r>
    </w:p>
    <w:p w:rsidR="004A78B2" w:rsidRDefault="004A78B2" w:rsidP="004A78B2">
      <w:pPr>
        <w:spacing w:line="360" w:lineRule="auto"/>
        <w:jc w:val="both"/>
        <w:rPr>
          <w:rFonts w:ascii="David" w:hAnsi="David"/>
        </w:rPr>
      </w:pPr>
      <w:r>
        <w:rPr>
          <w:rFonts w:ascii="David" w:hAnsi="David"/>
          <w:rtl/>
        </w:rPr>
        <w:t xml:space="preserve">המזכירות תסגור את התיק. </w:t>
      </w:r>
    </w:p>
    <w:p w:rsidR="004A78B2" w:rsidRDefault="004A78B2" w:rsidP="004A78B2"/>
    <w:p w:rsidR="00694556" w:rsidRPr="00DE1E7D" w:rsidRDefault="00694556">
      <w:pPr>
        <w:spacing w:line="360" w:lineRule="auto"/>
        <w:jc w:val="both"/>
        <w:rPr>
          <w:rFonts w:ascii="Arial" w:hAnsi="Arial"/>
          <w:noProof w:val="0"/>
          <w:rtl/>
        </w:rPr>
      </w:pPr>
    </w:p>
    <w:p w:rsidR="00694556" w:rsidRPr="00DE1E7D" w:rsidRDefault="00694556">
      <w:pPr>
        <w:spacing w:line="360" w:lineRule="auto"/>
        <w:jc w:val="both"/>
        <w:rPr>
          <w:rFonts w:ascii="Arial" w:hAnsi="Arial"/>
          <w:noProof w:val="0"/>
          <w:rtl/>
        </w:rPr>
      </w:pPr>
    </w:p>
    <w:p w:rsidR="00694556" w:rsidRPr="00DE1E7D" w:rsidRDefault="00694556">
      <w:pPr>
        <w:spacing w:line="360" w:lineRule="auto"/>
        <w:jc w:val="both"/>
        <w:rPr>
          <w:rFonts w:ascii="Arial" w:hAnsi="Arial"/>
          <w:noProof w:val="0"/>
          <w:rtl/>
        </w:rPr>
      </w:pPr>
    </w:p>
    <w:p w:rsidR="00694556" w:rsidRPr="00DE1E7D" w:rsidRDefault="00694556">
      <w:pPr>
        <w:spacing w:line="360" w:lineRule="auto"/>
        <w:jc w:val="both"/>
        <w:rPr>
          <w:rFonts w:ascii="Arial" w:hAnsi="Arial"/>
          <w:noProof w:val="0"/>
          <w:rtl/>
        </w:rPr>
      </w:pPr>
    </w:p>
    <w:p w:rsidR="00694556" w:rsidRPr="00DE1E7D" w:rsidRDefault="00694556">
      <w:pPr>
        <w:spacing w:line="360" w:lineRule="auto"/>
        <w:jc w:val="both"/>
        <w:rPr>
          <w:rFonts w:ascii="Arial" w:hAnsi="Arial"/>
          <w:noProof w:val="0"/>
          <w:rtl/>
        </w:rPr>
      </w:pPr>
    </w:p>
    <w:p w:rsidR="00694556" w:rsidRDefault="0043502B">
      <w:pPr>
        <w:spacing w:line="360" w:lineRule="auto"/>
        <w:jc w:val="both"/>
        <w:rPr>
          <w:rFonts w:ascii="Arial" w:hAnsi="Arial"/>
          <w:noProof w:val="0"/>
          <w:rtl/>
        </w:rPr>
      </w:pPr>
      <w:r>
        <w:rPr>
          <w:rFonts w:ascii="Arial" w:hAnsi="Arial"/>
          <w:noProof w:val="0"/>
          <w:rtl/>
        </w:rPr>
        <w:t>נית</w:t>
      </w:r>
      <w:r>
        <w:rPr>
          <w:rFonts w:ascii="Arial" w:hAnsi="Arial" w:hint="cs"/>
          <w:noProof w:val="0"/>
          <w:rtl/>
        </w:rPr>
        <w:t>נה</w:t>
      </w:r>
      <w:r w:rsidR="00005C8B">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י"ז תשרי תשפ"ה</w:t>
          </w:r>
        </w:sdtContent>
      </w:sdt>
      <w:r w:rsidR="00005C8B">
        <w:rPr>
          <w:rFonts w:ascii="Arial" w:hAnsi="Arial"/>
          <w:noProof w:val="0"/>
          <w:rtl/>
        </w:rPr>
        <w:t xml:space="preserve">, </w:t>
      </w:r>
      <w:sdt>
        <w:sdtPr>
          <w:rPr>
            <w:rtl/>
          </w:rPr>
          <w:alias w:val="1456"/>
          <w:tag w:val="1456"/>
          <w:id w:val="-1186288958"/>
          <w:text w:multiLine="1"/>
        </w:sdtPr>
        <w:sdtEndPr/>
        <w:sdtContent>
          <w:r>
            <w:rPr>
              <w:rFonts w:ascii="Arial" w:hAnsi="Arial"/>
              <w:noProof w:val="0"/>
              <w:rtl/>
            </w:rPr>
            <w:t>19 אוקטובר 2024</w:t>
          </w:r>
        </w:sdtContent>
      </w:sdt>
      <w:r w:rsidR="00005C8B">
        <w:rPr>
          <w:rFonts w:ascii="Arial" w:hAnsi="Arial"/>
          <w:noProof w:val="0"/>
          <w:rtl/>
        </w:rPr>
        <w:t>, בהעדר הצדדים.</w:t>
      </w:r>
    </w:p>
    <w:p w:rsidR="00C43648" w:rsidRDefault="008848A8" w:rsidP="00BD6531">
      <w:pPr>
        <w:tabs>
          <w:tab w:val="left" w:pos="2553"/>
        </w:tabs>
        <w:ind w:left="5040"/>
        <w:rPr>
          <w:rtl/>
        </w:rPr>
      </w:pPr>
      <w:sdt>
        <w:sdtPr>
          <w:rPr>
            <w:rFonts w:hint="cs"/>
            <w:rtl/>
          </w:rPr>
          <w:alias w:val="2045"/>
          <w:tag w:val="2045"/>
          <w:id w:val="740689340"/>
          <w:placeholder>
            <w:docPart w:val="E460D38E05664FF79D4EFF282EF8EC99"/>
          </w:placeholder>
          <w:showingPlcHdr/>
          <w:text w:multiLine="1"/>
        </w:sdtPr>
        <w:sdtEndPr/>
        <w:sdtContent>
          <w:r w:rsidR="00C43648">
            <w:rPr>
              <w:rFonts w:hint="cs"/>
              <w:rtl/>
            </w:rPr>
            <w:t xml:space="preserve">     </w:t>
          </w:r>
        </w:sdtContent>
      </w:sdt>
    </w:p>
    <w:p w:rsidR="00694556" w:rsidRDefault="00BD6531" w:rsidP="00BD6531">
      <w:pPr>
        <w:tabs>
          <w:tab w:val="left" w:pos="2553"/>
        </w:tabs>
      </w:pPr>
      <w:r>
        <w:rPr>
          <w:rFonts w:hint="cs"/>
          <w:rtl/>
        </w:rPr>
        <w:tab/>
      </w:r>
      <w:r>
        <w:rPr>
          <w:rFonts w:hint="cs"/>
          <w:rtl/>
        </w:rPr>
        <w:tab/>
      </w:r>
      <w:r>
        <w:rPr>
          <w:rFonts w:hint="cs"/>
          <w:rtl/>
        </w:rPr>
        <w:tab/>
      </w:r>
      <w:r>
        <w:rPr>
          <w:rFonts w:hint="cs"/>
          <w:rtl/>
        </w:rPr>
        <w:tab/>
        <w:t xml:space="preserve">        </w:t>
      </w:r>
      <w:sdt>
        <w:sdtPr>
          <w:rPr>
            <w:rtl/>
          </w:rPr>
          <w:alias w:val="MergeField"/>
          <w:tag w:val="1237"/>
          <w:id w:val="1793795367"/>
        </w:sdtPr>
        <w:sdtEndPr/>
        <w:sdtContent>
          <w:r w:rsidR="00D372FE">
            <w:drawing>
              <wp:inline distT="0" distB="0" distL="0" distR="0" wp14:editId="50D07946">
                <wp:extent cx="1743075" cy="11525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0" cstate="print">
                          <a:extLst/>
                        </a:blip>
                        <a:stretch>
                          <a:fillRect/>
                        </a:stretch>
                      </pic:blipFill>
                      <pic:spPr>
                        <a:xfrm>
                          <a:off x="0" y="0"/>
                          <a:ext cx="1743075" cy="1152525"/>
                        </a:xfrm>
                        <a:prstGeom prst="rect">
                          <a:avLst/>
                        </a:prstGeom>
                      </pic:spPr>
                    </pic:pic>
                  </a:graphicData>
                </a:graphic>
              </wp:inline>
            </w:drawing>
          </w:r>
        </w:sdtContent>
      </w:sdt>
    </w:p>
    <w:p w:rsidR="00694556" w:rsidRDefault="00694556" w:rsidP="00BD6531">
      <w:pPr>
        <w:tabs>
          <w:tab w:val="left" w:pos="2553"/>
        </w:tabs>
        <w:rPr>
          <w:rFonts w:ascii="Arial" w:hAnsi="Arial"/>
          <w:noProof w:val="0"/>
          <w:rtl/>
        </w:rPr>
      </w:pPr>
    </w:p>
    <w:sectPr w:rsidR="00694556" w:rsidSect="006C30C5">
      <w:headerReference w:type="even" r:id="rId11"/>
      <w:headerReference w:type="default" r:id="rId12"/>
      <w:footerReference w:type="even" r:id="rId13"/>
      <w:footerReference w:type="default" r:id="rId14"/>
      <w:headerReference w:type="first" r:id="rId15"/>
      <w:footerReference w:type="first" r:id="rId16"/>
      <w:pgSz w:w="11907" w:h="16840" w:code="9"/>
      <w:pgMar w:top="454" w:right="1701" w:bottom="1701" w:left="1701"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848A8" w:rsidRDefault="008848A8">
      <w:r>
        <w:separator/>
      </w:r>
    </w:p>
  </w:endnote>
  <w:endnote w:type="continuationSeparator" w:id="0">
    <w:p w:rsidR="008848A8" w:rsidRDefault="008848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E0A69" w:rsidRDefault="000E0A69">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0C3B60">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0E0A69">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0E0A69">
      <w:rPr>
        <w:rStyle w:val="ab"/>
        <w:rtl/>
      </w:rPr>
      <w:t>8</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E0A69" w:rsidRDefault="000E0A69">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848A8" w:rsidRDefault="008848A8">
      <w:r>
        <w:separator/>
      </w:r>
    </w:p>
  </w:footnote>
  <w:footnote w:type="continuationSeparator" w:id="0">
    <w:p w:rsidR="008848A8" w:rsidRDefault="008848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E0A69" w:rsidRDefault="000E0A69">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2535346B" wp14:editId="0528C5E4">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8505"/>
    </w:tblGrid>
    <w:tr w:rsidR="00694556" w:rsidTr="005D4AC5">
      <w:trPr>
        <w:trHeight w:hRule="exact" w:val="704"/>
        <w:jc w:val="center"/>
      </w:trPr>
      <w:sdt>
        <w:sdtPr>
          <w:rPr>
            <w:rFonts w:ascii="Tahoma" w:hAnsi="Tahoma"/>
            <w:color w:val="000080"/>
            <w:sz w:val="32"/>
            <w:szCs w:val="32"/>
            <w:rtl/>
          </w:rPr>
          <w:alias w:val="1174"/>
          <w:tag w:val="1174"/>
          <w:id w:val="-1585920285"/>
          <w:text w:multiLine="1"/>
        </w:sdtPr>
        <w:sdtEndPr/>
        <w:sdtContent>
          <w:tc>
            <w:tcPr>
              <w:tcW w:w="8505" w:type="dxa"/>
            </w:tcPr>
            <w:p w:rsidR="00694556" w:rsidRPr="00F038D8" w:rsidRDefault="003D1C8C" w:rsidP="003230C7">
              <w:pPr>
                <w:pStyle w:val="a3"/>
                <w:jc w:val="center"/>
                <w:rPr>
                  <w:rFonts w:ascii="Tahoma" w:hAnsi="Tahoma"/>
                  <w:noProof w:val="0"/>
                  <w:color w:val="000080"/>
                  <w:sz w:val="32"/>
                  <w:szCs w:val="32"/>
                  <w:rtl/>
                </w:rPr>
              </w:pPr>
              <w:r w:rsidRPr="00F038D8">
                <w:rPr>
                  <w:rFonts w:ascii="Tahoma" w:hAnsi="Tahoma"/>
                  <w:color w:val="000080"/>
                  <w:sz w:val="32"/>
                  <w:szCs w:val="32"/>
                  <w:rtl/>
                </w:rPr>
                <w:t>בית משפט לענייני משפחה באשדוד</w:t>
              </w:r>
            </w:p>
          </w:tc>
        </w:sdtContent>
      </w:sdt>
    </w:tr>
    <w:tr w:rsidR="00694556" w:rsidTr="005D4AC5">
      <w:trPr>
        <w:trHeight w:val="337"/>
        <w:jc w:val="center"/>
      </w:trPr>
      <w:tc>
        <w:tcPr>
          <w:tcW w:w="8505" w:type="dxa"/>
        </w:tcPr>
        <w:p w:rsidR="007D45E3" w:rsidRDefault="008848A8" w:rsidP="00986C5C">
          <w:pPr>
            <w:rPr>
              <w:b/>
              <w:bCs/>
              <w:noProof w:val="0"/>
              <w:sz w:val="26"/>
              <w:szCs w:val="26"/>
              <w:rtl/>
            </w:rPr>
          </w:pPr>
          <w:sdt>
            <w:sdtPr>
              <w:rPr>
                <w:rtl/>
              </w:rPr>
              <w:alias w:val="1170"/>
              <w:tag w:val="1170"/>
              <w:id w:val="1066377040"/>
              <w:text w:multiLine="1"/>
            </w:sdtPr>
            <w:sdtEndPr/>
            <w:sdtContent>
              <w:proofErr w:type="spellStart"/>
              <w:r w:rsidR="00064651">
                <w:rPr>
                  <w:b/>
                  <w:bCs/>
                  <w:noProof w:val="0"/>
                  <w:sz w:val="26"/>
                  <w:szCs w:val="26"/>
                  <w:rtl/>
                </w:rPr>
                <w:t>תלה"מ</w:t>
              </w:r>
              <w:proofErr w:type="spellEnd"/>
            </w:sdtContent>
          </w:sdt>
          <w:r w:rsidR="00005C8B">
            <w:rPr>
              <w:b/>
              <w:bCs/>
              <w:noProof w:val="0"/>
              <w:sz w:val="26"/>
              <w:szCs w:val="26"/>
              <w:rtl/>
            </w:rPr>
            <w:t xml:space="preserve"> </w:t>
          </w:r>
          <w:bookmarkStart w:id="1" w:name="_GoBack"/>
          <w:sdt>
            <w:sdtPr>
              <w:rPr>
                <w:rtl/>
              </w:rPr>
              <w:alias w:val="1171"/>
              <w:tag w:val="1171"/>
              <w:id w:val="257034231"/>
              <w:text w:multiLine="1"/>
            </w:sdtPr>
            <w:sdtEndPr/>
            <w:sdtContent>
              <w:r w:rsidR="00064651">
                <w:rPr>
                  <w:b/>
                  <w:bCs/>
                  <w:noProof w:val="0"/>
                  <w:sz w:val="26"/>
                  <w:szCs w:val="26"/>
                  <w:rtl/>
                </w:rPr>
                <w:t>12436-05-23</w:t>
              </w:r>
            </w:sdtContent>
          </w:sdt>
          <w:bookmarkEnd w:id="1"/>
          <w:r w:rsidR="00005C8B">
            <w:rPr>
              <w:b/>
              <w:bCs/>
              <w:noProof w:val="0"/>
              <w:sz w:val="26"/>
              <w:szCs w:val="26"/>
              <w:rtl/>
            </w:rPr>
            <w:t xml:space="preserve"> </w:t>
          </w:r>
          <w:sdt>
            <w:sdtPr>
              <w:rPr>
                <w:rtl/>
              </w:rPr>
              <w:alias w:val="1172"/>
              <w:tag w:val="1172"/>
              <w:id w:val="-595170033"/>
              <w:text w:multiLine="1"/>
            </w:sdtPr>
            <w:sdtEndPr/>
            <w:sdtContent>
              <w:r w:rsidR="00064651">
                <w:rPr>
                  <w:b/>
                  <w:bCs/>
                  <w:noProof w:val="0"/>
                  <w:sz w:val="26"/>
                  <w:szCs w:val="26"/>
                  <w:rtl/>
                </w:rPr>
                <w:t>כ</w:t>
              </w:r>
              <w:r w:rsidR="00986C5C">
                <w:rPr>
                  <w:rFonts w:hint="cs"/>
                  <w:b/>
                  <w:bCs/>
                  <w:noProof w:val="0"/>
                  <w:sz w:val="26"/>
                  <w:szCs w:val="26"/>
                  <w:rtl/>
                </w:rPr>
                <w:t xml:space="preserve">. </w:t>
              </w:r>
              <w:r w:rsidR="00064651">
                <w:rPr>
                  <w:b/>
                  <w:bCs/>
                  <w:noProof w:val="0"/>
                  <w:sz w:val="26"/>
                  <w:szCs w:val="26"/>
                  <w:rtl/>
                </w:rPr>
                <w:t>נ' כ</w:t>
              </w:r>
              <w:r w:rsidR="00986C5C">
                <w:rPr>
                  <w:rFonts w:hint="cs"/>
                  <w:b/>
                  <w:bCs/>
                  <w:noProof w:val="0"/>
                  <w:sz w:val="26"/>
                  <w:szCs w:val="26"/>
                  <w:rtl/>
                </w:rPr>
                <w:t>.</w:t>
              </w:r>
              <w:r w:rsidR="00064651">
                <w:rPr>
                  <w:b/>
                  <w:bCs/>
                  <w:noProof w:val="0"/>
                  <w:sz w:val="26"/>
                  <w:szCs w:val="26"/>
                  <w:rtl/>
                </w:rPr>
                <w:t xml:space="preserve"> ואח'</w:t>
              </w:r>
            </w:sdtContent>
          </w:sdt>
        </w:p>
        <w:p w:rsidR="007D45E3" w:rsidRPr="007B7765" w:rsidRDefault="007D45E3" w:rsidP="007D45E3">
          <w:pPr>
            <w:rPr>
              <w:b/>
              <w:bCs/>
              <w:noProof w:val="0"/>
              <w:sz w:val="2"/>
              <w:szCs w:val="2"/>
              <w:rtl/>
            </w:rPr>
          </w:pPr>
        </w:p>
        <w:p w:rsidR="008D10B2" w:rsidRPr="00E1068A" w:rsidRDefault="007D45E3" w:rsidP="005D4AC5">
          <w:pPr>
            <w:rPr>
              <w:sz w:val="20"/>
              <w:szCs w:val="20"/>
              <w:rtl/>
            </w:rPr>
          </w:pPr>
          <w:r>
            <w:rPr>
              <w:rFonts w:hint="cs"/>
              <w:rtl/>
            </w:rPr>
            <w:t xml:space="preserve">                           </w:t>
          </w:r>
          <w:r>
            <w:rPr>
              <w:rFonts w:hint="cs"/>
              <w:sz w:val="20"/>
              <w:szCs w:val="20"/>
              <w:rtl/>
            </w:rPr>
            <w:t xml:space="preserve">                                       </w:t>
          </w: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E0A69" w:rsidRDefault="000E0A69">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FFD1582"/>
    <w:multiLevelType w:val="hybridMultilevel"/>
    <w:tmpl w:val="7C2E936A"/>
    <w:lvl w:ilvl="0" w:tplc="B8041392">
      <w:start w:val="1"/>
      <w:numFmt w:val="decimal"/>
      <w:lvlText w:val="%1."/>
      <w:lvlJc w:val="left"/>
      <w:pPr>
        <w:ind w:left="720" w:hanging="360"/>
      </w:pPr>
      <w:rPr>
        <w:b w:val="0"/>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80221677"/>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80221677&amp;lt;/CaseID&amp;gt;_x000d__x000a_        &amp;lt;CaseMonth&amp;gt;5&amp;lt;/CaseMonth&amp;gt;_x000d__x000a_        &amp;lt;CaseYear&amp;gt;2023&amp;lt;/CaseYear&amp;gt;_x000d__x000a_        &amp;lt;CaseNumber&amp;gt;12436&amp;lt;/CaseNumber&amp;gt;_x000d__x000a_        &amp;lt;NumeratorGroupID&amp;gt;1&amp;lt;/NumeratorGroupID&amp;gt;_x000d__x000a_        &amp;lt;CaseName&amp;gt;כוכבי נ&amp;#39; כוכבי ואח&amp;#39;&amp;lt;/CaseName&amp;gt;_x000d__x000a_        &amp;lt;CourtID&amp;gt;43&amp;lt;/CourtID&amp;gt;_x000d__x000a_        &amp;lt;CaseTypeID&amp;gt;10262&amp;lt;/CaseTypeID&amp;gt;_x000d__x000a_        &amp;lt;CaseInterestID&amp;gt;10513&amp;lt;/CaseInterestID&amp;gt;_x000d__x000a_        &amp;lt;CaseJudgeName&amp;gt;הילה אוחיון גליקסמן&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12436-05-23&amp;lt;/CaseDisplayIdentifier&amp;gt;_x000d__x000a_        &amp;lt;CaseTypeDesc&amp;gt;תלה&amp;quot;מ&amp;lt;/CaseTypeDesc&amp;gt;_x000d__x000a_        &amp;lt;CourtDesc&amp;gt;שלום אשדוד&amp;lt;/CourtDesc&amp;gt;_x000d__x000a_        &amp;lt;CaseStageDesc&amp;gt;תיק אלקטרוני&amp;lt;/CaseStageDesc&amp;gt;_x000d__x000a_        &amp;lt;IsUnpaidFeeExist&amp;gt;false&amp;lt;/IsUnpaidFeeExist&amp;gt;_x000d__x000a_        &amp;lt;CaseNextDeterminingTask&amp;gt;141&amp;lt;/CaseNextDeterminingTask&amp;gt;_x000d__x000a_        &amp;lt;CaseOpenDate&amp;gt;2023-05-04T12:48:00+03:00&amp;lt;/CaseOpenDate&amp;gt;_x000d__x000a_        &amp;lt;PleaTypeID&amp;gt;4&amp;lt;/PleaTypeID&amp;gt;_x000d__x000a_        &amp;lt;CourtLevelID&amp;gt;1&amp;lt;/CourtLevelID&amp;gt;_x000d__x000a_        &amp;lt;CourtLevelCaseTypeInterestID&amp;gt;1775&amp;lt;/CourtLevelCaseTypeInterestID&amp;gt;_x000d__x000a_        &amp;lt;CaseJudgeFirstName&amp;gt;הילה&amp;lt;/CaseJudgeFirstName&amp;gt;_x000d__x000a_        &amp;lt;CaseJudgeLastName&amp;gt;אוחיון גליקסמן&amp;lt;/CaseJudgeLastName&amp;gt;_x000d__x000a_        &amp;lt;JudicalPersonID&amp;gt;039599873@GOV.IL&amp;lt;/JudicalPersonID&amp;gt;_x000d__x000a_        &amp;lt;IsJudicalPanel&amp;gt;false&amp;lt;/IsJudicalPanel&amp;gt;_x000d__x000a_        &amp;lt;CourtDisplayName&amp;gt;בית משפט לענייני משפחה באשדוד&amp;lt;/CourtDisplayName&amp;gt;_x000d__x000a_        &amp;lt;IsAllStartDataCollected&amp;gt;true&amp;lt;/IsAllStartDataCollected&amp;gt;_x000d__x000a_        &amp;lt;IsMainCase&amp;gt;false&amp;lt;/IsMainCase&amp;gt;_x000d__x000a_        &amp;lt;CaseDesc&amp;gt;אין מענה אצל הנתבע.&amp;lt;/CaseDesc&amp;gt;_x000d__x000a_        &amp;lt;isExistMinorSide&amp;gt;fals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80221677&amp;lt;/CaseID&amp;gt;_x000d__x000a_        &amp;lt;CaseMonth&amp;gt;5&amp;lt;/CaseMonth&amp;gt;_x000d__x000a_        &amp;lt;CaseYear&amp;gt;2023&amp;lt;/CaseYear&amp;gt;_x000d__x000a_        &amp;lt;CaseNumber&amp;gt;12436&amp;lt;/CaseNumber&amp;gt;_x000d__x000a_        &amp;lt;NumeratorGroupID&amp;gt;1&amp;lt;/NumeratorGroupID&amp;gt;_x000d__x000a_        &amp;lt;CaseName&amp;gt;כוכבי נ&amp;#39; כוכבי ואח&amp;#39;&amp;lt;/CaseName&amp;gt;_x000d__x000a_        &amp;lt;CourtID&amp;gt;43&amp;lt;/CourtID&amp;gt;_x000d__x000a_        &amp;lt;CaseTypeID&amp;gt;10262&amp;lt;/CaseTypeID&amp;gt;_x000d__x000a_        &amp;lt;CaseInterestID&amp;gt;10513&amp;lt;/CaseInterestID&amp;gt;_x000d__x000a_        &amp;lt;CaseJudgeName&amp;gt;הילה אוחיון גליקסמן&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12436-05-23&amp;lt;/CaseDisplayIdentifier&amp;gt;_x000d__x000a_        &amp;lt;CaseTypeDesc&amp;gt;תלה&amp;quot;מ&amp;lt;/CaseTypeDesc&amp;gt;_x000d__x000a_        &amp;lt;CourtDesc&amp;gt;שלום אשדוד&amp;lt;/CourtDesc&amp;gt;_x000d__x000a_        &amp;lt;CaseStageDesc&amp;gt;תיק אלקטרוני&amp;lt;/CaseStageDesc&amp;gt;_x000d__x000a_        &amp;lt;CaseNextDeterminingTask&amp;gt;141&amp;lt;/CaseNextDeterminingTask&amp;gt;_x000d__x000a_        &amp;lt;CaseOpenDate&amp;gt;2023-05-04T12:48:00+03:00&amp;lt;/CaseOpenDate&amp;gt;_x000d__x000a_        &amp;lt;PleaTypeID&amp;gt;4&amp;lt;/PleaTypeID&amp;gt;_x000d__x000a_        &amp;lt;CourtLevelID&amp;gt;1&amp;lt;/CourtLevelID&amp;gt;_x000d__x000a_        &amp;lt;CourtLevelCaseTypeInterestID&amp;gt;1775&amp;lt;/CourtLevelCaseTypeInterestID&amp;gt;_x000d__x000a_        &amp;lt;CaseJudgeFirstName&amp;gt;הילה&amp;lt;/CaseJudgeFirstName&amp;gt;_x000d__x000a_        &amp;lt;CaseJudgeLastName&amp;gt;אוחיון גליקסמן&amp;lt;/CaseJudgeLastName&amp;gt;_x000d__x000a_        &amp;lt;JudicalPersonID&amp;gt;039599873@GOV.IL&amp;lt;/JudicalPersonID&amp;gt;_x000d__x000a_        &amp;lt;IsJudicalPanel&amp;gt;false&amp;lt;/IsJudicalPanel&amp;gt;_x000d__x000a_        &amp;lt;CourtDisplayName&amp;gt;בית משפט לענייני משפחה באשדוד&amp;lt;/CourtDisplayName&amp;gt;_x000d__x000a_        &amp;lt;IsAllStartDataCollected&amp;gt;true&amp;lt;/IsAllStartDataCollected&amp;gt;_x000d__x000a_        &amp;lt;IsMainCase&amp;gt;false&amp;lt;/IsMainCase&amp;gt;_x000d__x000a_        &amp;lt;CaseDesc&amp;gt;אין מענה אצל הנתבע.&amp;lt;/CaseDesc&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43"/>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55512896&amp;lt;/DecisionID&amp;gt;_x000d__x000a_        &amp;lt;DecisionName&amp;gt;החלטה  שניתנה ע&amp;quot;י  הילה אוחיון גליקסמן&amp;lt;/DecisionName&amp;gt;_x000d__x000a_        &amp;lt;DecisionStatusID&amp;gt;1&amp;lt;/DecisionStatusID&amp;gt;_x000d__x000a_        &amp;lt;DecisionStatusChangeDate&amp;gt;2024-10-17T11:00:03.787+03:00&amp;lt;/DecisionStatusChangeDate&amp;gt;_x000d__x000a_        &amp;lt;DecisionSignatureDate&amp;gt;2024-10-14T23:26:42.94+03:00&amp;lt;/DecisionSignatureDate&amp;gt;_x000d__x000a_        &amp;lt;DecisionSignatureUserID&amp;gt;039599873@GOV.IL&amp;lt;/DecisionSignatureUserID&amp;gt;_x000d__x000a_        &amp;lt;DecisionCreateDate&amp;gt;2024-10-14T23:31:56.707+03:00&amp;lt;/DecisionCreateDate&amp;gt;_x000d__x000a_        &amp;lt;DecisionChangeDate&amp;gt;2024-10-17T11:00:03.833+03:00&amp;lt;/DecisionChangeDate&amp;gt;_x000d__x000a_        &amp;lt;DecisionChangeUserID&amp;gt;039599873@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1&amp;lt;/DecisionTypeID&amp;gt;_x000d__x000a_        &amp;lt;IsOnlyOneParty&amp;gt;false&amp;lt;/IsOnlyOneParty&amp;gt;_x000d__x000a_        &amp;lt;IsCanceledDecision&amp;gt;false&amp;lt;/IsCanceledDecision&amp;gt;_x000d__x000a_        &amp;lt;DocumentID&amp;gt;458002002&amp;lt;/DocumentID&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39599873@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39599873@GOV.IL&amp;lt;/DecisionCreationUserID&amp;gt;_x000d__x000a_        &amp;lt;DecisionDisplayName&amp;gt;החלטה  שניתנה ע&amp;quot;י  הילה אוחיון גליקסמן&amp;lt;/DecisionDisplayName&amp;gt;_x000d__x000a_        &amp;lt;IsScanned&amp;gt;false&amp;lt;/IsScanned&amp;gt;_x000d__x000a_        &amp;lt;DecisionSignatureUserName&amp;gt;הילה אוחיון גליקסמן&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17&amp;lt;/DecisionNumberInCase&amp;gt;_x000d__x000a_      &amp;lt;/dt_Decision&amp;gt;_x000d__x000a_      &amp;lt;dt_DecisionCase diffgr:id=&amp;quot;dt_DecisionCase1&amp;quot; msdata:rowOrder=&amp;quot;0&amp;quot;&amp;gt;_x000d__x000a_        &amp;lt;DecisionID&amp;gt;155512896&amp;lt;/DecisionID&amp;gt;_x000d__x000a_        &amp;lt;CaseID&amp;gt;80221677&amp;lt;/CaseID&amp;gt;_x000d__x000a_        &amp;lt;IsOriginal&amp;gt;true&amp;lt;/IsOriginal&amp;gt;_x000d__x000a_        &amp;lt;IsDeleted&amp;gt;false&amp;lt;/IsDeleted&amp;gt;_x000d__x000a_        &amp;lt;CaseName&amp;gt;כוכבי נ&amp;#39; כוכבי ואח&amp;#39;&amp;lt;/CaseName&amp;gt;_x000d__x000a_        &amp;lt;CaseDisplayIdentifier&amp;gt;12436-05-23 תלה&amp;quot;מ&amp;lt;/CaseDisplayIdentifier&amp;gt;_x000d__x000a_      &amp;lt;/dt_DecisionCase&amp;gt;_x000d__x000a_    &amp;lt;/DecisionDS&amp;gt;_x000d__x000a_  &amp;lt;/diffgr:diffgram&amp;gt;_x000d__x000a_&amp;lt;/DecisionDS&amp;gt;"/>
    <w:docVar w:name="DecisionID" w:val="155512896"/>
    <w:docVar w:name="WordClientAssemblyName" w:val="NGCS.Decision.ClientWordBL"/>
    <w:docVar w:name="WordClientClassName" w:val="NGCS.Decision.ClientWordBL.DecisionClient"/>
  </w:docVars>
  <w:rsids>
    <w:rsidRoot w:val="00694556"/>
    <w:rsid w:val="00000062"/>
    <w:rsid w:val="0000226B"/>
    <w:rsid w:val="00005C8B"/>
    <w:rsid w:val="000229A1"/>
    <w:rsid w:val="000529D2"/>
    <w:rsid w:val="000564AB"/>
    <w:rsid w:val="00064651"/>
    <w:rsid w:val="00064FBD"/>
    <w:rsid w:val="00082AB2"/>
    <w:rsid w:val="000906FE"/>
    <w:rsid w:val="00096AF7"/>
    <w:rsid w:val="000B344B"/>
    <w:rsid w:val="000C214B"/>
    <w:rsid w:val="000C3B0F"/>
    <w:rsid w:val="000C3B60"/>
    <w:rsid w:val="000E0A69"/>
    <w:rsid w:val="000E0DD2"/>
    <w:rsid w:val="000E3AF1"/>
    <w:rsid w:val="000F0BC8"/>
    <w:rsid w:val="000F0DD6"/>
    <w:rsid w:val="00107E6D"/>
    <w:rsid w:val="0011194C"/>
    <w:rsid w:val="0011424C"/>
    <w:rsid w:val="001173C6"/>
    <w:rsid w:val="001367BC"/>
    <w:rsid w:val="00144D2A"/>
    <w:rsid w:val="0014653E"/>
    <w:rsid w:val="00180519"/>
    <w:rsid w:val="00191C82"/>
    <w:rsid w:val="001928DB"/>
    <w:rsid w:val="001A7537"/>
    <w:rsid w:val="001C4003"/>
    <w:rsid w:val="001D4DBF"/>
    <w:rsid w:val="001E75CA"/>
    <w:rsid w:val="002265FF"/>
    <w:rsid w:val="00234943"/>
    <w:rsid w:val="002470DD"/>
    <w:rsid w:val="00270FFE"/>
    <w:rsid w:val="00271B56"/>
    <w:rsid w:val="0028443A"/>
    <w:rsid w:val="002B285B"/>
    <w:rsid w:val="002B7F2F"/>
    <w:rsid w:val="002C344E"/>
    <w:rsid w:val="002C3F4A"/>
    <w:rsid w:val="002E75E9"/>
    <w:rsid w:val="00307A6A"/>
    <w:rsid w:val="00307C40"/>
    <w:rsid w:val="00320433"/>
    <w:rsid w:val="003230C7"/>
    <w:rsid w:val="00327E50"/>
    <w:rsid w:val="0033597A"/>
    <w:rsid w:val="00343D89"/>
    <w:rsid w:val="00362612"/>
    <w:rsid w:val="0036743F"/>
    <w:rsid w:val="003715DD"/>
    <w:rsid w:val="003823E0"/>
    <w:rsid w:val="003A4521"/>
    <w:rsid w:val="003D1C8C"/>
    <w:rsid w:val="0040096C"/>
    <w:rsid w:val="00413F0A"/>
    <w:rsid w:val="00414F1F"/>
    <w:rsid w:val="0043125D"/>
    <w:rsid w:val="0043502B"/>
    <w:rsid w:val="004443AC"/>
    <w:rsid w:val="00444B02"/>
    <w:rsid w:val="00451E28"/>
    <w:rsid w:val="00462C62"/>
    <w:rsid w:val="00465D36"/>
    <w:rsid w:val="004A78B2"/>
    <w:rsid w:val="004C17EE"/>
    <w:rsid w:val="004C4BDF"/>
    <w:rsid w:val="004D1187"/>
    <w:rsid w:val="004D3AA0"/>
    <w:rsid w:val="004E1987"/>
    <w:rsid w:val="004E2E15"/>
    <w:rsid w:val="004E6E3C"/>
    <w:rsid w:val="00520898"/>
    <w:rsid w:val="00523621"/>
    <w:rsid w:val="00524986"/>
    <w:rsid w:val="005268F6"/>
    <w:rsid w:val="00534284"/>
    <w:rsid w:val="00547DB7"/>
    <w:rsid w:val="00581969"/>
    <w:rsid w:val="005D4AC5"/>
    <w:rsid w:val="005F4F09"/>
    <w:rsid w:val="0061431B"/>
    <w:rsid w:val="00622BAA"/>
    <w:rsid w:val="006306CF"/>
    <w:rsid w:val="00644E9A"/>
    <w:rsid w:val="00671BD5"/>
    <w:rsid w:val="006805C1"/>
    <w:rsid w:val="00686C21"/>
    <w:rsid w:val="006931C1"/>
    <w:rsid w:val="00694556"/>
    <w:rsid w:val="006C30C5"/>
    <w:rsid w:val="006C4820"/>
    <w:rsid w:val="006C4F7C"/>
    <w:rsid w:val="006D3B31"/>
    <w:rsid w:val="006E0D96"/>
    <w:rsid w:val="006E1A53"/>
    <w:rsid w:val="006E1F5D"/>
    <w:rsid w:val="006F33BA"/>
    <w:rsid w:val="006F56E6"/>
    <w:rsid w:val="00704EDA"/>
    <w:rsid w:val="00721122"/>
    <w:rsid w:val="00753019"/>
    <w:rsid w:val="00754801"/>
    <w:rsid w:val="00761441"/>
    <w:rsid w:val="00795365"/>
    <w:rsid w:val="007A351D"/>
    <w:rsid w:val="007B7765"/>
    <w:rsid w:val="007C5BDD"/>
    <w:rsid w:val="007D45E3"/>
    <w:rsid w:val="007E21BC"/>
    <w:rsid w:val="007E6115"/>
    <w:rsid w:val="007F4609"/>
    <w:rsid w:val="00814468"/>
    <w:rsid w:val="008176A1"/>
    <w:rsid w:val="00820005"/>
    <w:rsid w:val="00844318"/>
    <w:rsid w:val="0086061C"/>
    <w:rsid w:val="00863F5D"/>
    <w:rsid w:val="00870890"/>
    <w:rsid w:val="00873602"/>
    <w:rsid w:val="00875D12"/>
    <w:rsid w:val="00881CCE"/>
    <w:rsid w:val="0088479D"/>
    <w:rsid w:val="008848A8"/>
    <w:rsid w:val="00896889"/>
    <w:rsid w:val="00897DAF"/>
    <w:rsid w:val="008C5714"/>
    <w:rsid w:val="008D10B2"/>
    <w:rsid w:val="008F220A"/>
    <w:rsid w:val="00903896"/>
    <w:rsid w:val="00906F3D"/>
    <w:rsid w:val="0094424E"/>
    <w:rsid w:val="00955642"/>
    <w:rsid w:val="009622DF"/>
    <w:rsid w:val="0096493F"/>
    <w:rsid w:val="00967DFF"/>
    <w:rsid w:val="00986C5C"/>
    <w:rsid w:val="00994341"/>
    <w:rsid w:val="00996935"/>
    <w:rsid w:val="009C058D"/>
    <w:rsid w:val="009C65AD"/>
    <w:rsid w:val="009D1A48"/>
    <w:rsid w:val="009E1CE7"/>
    <w:rsid w:val="009E4EA5"/>
    <w:rsid w:val="009F164B"/>
    <w:rsid w:val="009F323C"/>
    <w:rsid w:val="00A3392B"/>
    <w:rsid w:val="00A85E34"/>
    <w:rsid w:val="00A9035F"/>
    <w:rsid w:val="00A94B64"/>
    <w:rsid w:val="00AA3229"/>
    <w:rsid w:val="00AA7596"/>
    <w:rsid w:val="00AB5E52"/>
    <w:rsid w:val="00AC1527"/>
    <w:rsid w:val="00AC30D6"/>
    <w:rsid w:val="00AC3B02"/>
    <w:rsid w:val="00AC3B7B"/>
    <w:rsid w:val="00AC5209"/>
    <w:rsid w:val="00AE0E34"/>
    <w:rsid w:val="00AE729E"/>
    <w:rsid w:val="00AE7752"/>
    <w:rsid w:val="00AF7FDA"/>
    <w:rsid w:val="00B5356E"/>
    <w:rsid w:val="00B809AD"/>
    <w:rsid w:val="00B80CBD"/>
    <w:rsid w:val="00B86096"/>
    <w:rsid w:val="00B964D9"/>
    <w:rsid w:val="00BA0A7C"/>
    <w:rsid w:val="00BA517C"/>
    <w:rsid w:val="00BB3D05"/>
    <w:rsid w:val="00BB73BE"/>
    <w:rsid w:val="00BC2D89"/>
    <w:rsid w:val="00BD6531"/>
    <w:rsid w:val="00BE05B2"/>
    <w:rsid w:val="00BF1908"/>
    <w:rsid w:val="00C15DEC"/>
    <w:rsid w:val="00C22D93"/>
    <w:rsid w:val="00C23458"/>
    <w:rsid w:val="00C31120"/>
    <w:rsid w:val="00C34482"/>
    <w:rsid w:val="00C43648"/>
    <w:rsid w:val="00C50A9F"/>
    <w:rsid w:val="00C642FA"/>
    <w:rsid w:val="00C74C31"/>
    <w:rsid w:val="00CC7622"/>
    <w:rsid w:val="00CD608F"/>
    <w:rsid w:val="00CF6BB7"/>
    <w:rsid w:val="00D04AA4"/>
    <w:rsid w:val="00D27982"/>
    <w:rsid w:val="00D33B86"/>
    <w:rsid w:val="00D372FE"/>
    <w:rsid w:val="00D44968"/>
    <w:rsid w:val="00D53924"/>
    <w:rsid w:val="00D55D0C"/>
    <w:rsid w:val="00D62878"/>
    <w:rsid w:val="00D73543"/>
    <w:rsid w:val="00D96D8C"/>
    <w:rsid w:val="00DA6649"/>
    <w:rsid w:val="00DC1259"/>
    <w:rsid w:val="00DC1BD2"/>
    <w:rsid w:val="00DC2571"/>
    <w:rsid w:val="00DC3C2B"/>
    <w:rsid w:val="00DC487C"/>
    <w:rsid w:val="00DE1E7D"/>
    <w:rsid w:val="00DE6BF6"/>
    <w:rsid w:val="00DF425B"/>
    <w:rsid w:val="00E04B33"/>
    <w:rsid w:val="00E04E84"/>
    <w:rsid w:val="00E1068A"/>
    <w:rsid w:val="00E25884"/>
    <w:rsid w:val="00E25B55"/>
    <w:rsid w:val="00E31C2B"/>
    <w:rsid w:val="00E5426A"/>
    <w:rsid w:val="00E54642"/>
    <w:rsid w:val="00E54CD9"/>
    <w:rsid w:val="00E80CBE"/>
    <w:rsid w:val="00E962E3"/>
    <w:rsid w:val="00EB6C79"/>
    <w:rsid w:val="00EC3795"/>
    <w:rsid w:val="00EC37E9"/>
    <w:rsid w:val="00F038D8"/>
    <w:rsid w:val="00F06995"/>
    <w:rsid w:val="00F13623"/>
    <w:rsid w:val="00F44D1D"/>
    <w:rsid w:val="00F81B2C"/>
    <w:rsid w:val="00F84B6D"/>
    <w:rsid w:val="00F957E8"/>
    <w:rsid w:val="00FA311A"/>
    <w:rsid w:val="00FA5FDA"/>
    <w:rsid w:val="00FB6AB3"/>
    <w:rsid w:val="00FD1419"/>
    <w:rsid w:val="00FD79E4"/>
    <w:rsid w:val="00FE2818"/>
    <w:rsid w:val="00FE2894"/>
    <w:rsid w:val="00FF5C0B"/>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 w:type="paragraph" w:styleId="ad">
    <w:name w:val="List Paragraph"/>
    <w:basedOn w:val="a"/>
    <w:uiPriority w:val="34"/>
    <w:qFormat/>
    <w:rsid w:val="005D4AC5"/>
    <w:pPr>
      <w:spacing w:after="160" w:line="256" w:lineRule="auto"/>
      <w:ind w:left="720"/>
      <w:contextualSpacing/>
    </w:pPr>
    <w:rPr>
      <w:rFonts w:asciiTheme="minorHAnsi" w:eastAsiaTheme="minorHAnsi" w:hAnsiTheme="minorHAnsi" w:cstheme="minorBidi"/>
      <w:noProof w:val="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13205681">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 w:id="19131529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image" Target="media/image1.jpg"/><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460D38E05664FF79D4EFF282EF8EC99"/>
        <w:category>
          <w:name w:val="כללי"/>
          <w:gallery w:val="placeholder"/>
        </w:category>
        <w:types>
          <w:type w:val="bbPlcHdr"/>
        </w:types>
        <w:behaviors>
          <w:behavior w:val="content"/>
        </w:behaviors>
        <w:guid w:val="{FD09B0DC-A014-4BFE-8938-8AD9210BC601}"/>
      </w:docPartPr>
      <w:docPartBody>
        <w:p w:rsidR="00345C9D" w:rsidRDefault="00C70435" w:rsidP="00C70435">
          <w:pPr>
            <w:pStyle w:val="E460D38E05664FF79D4EFF282EF8EC9926"/>
          </w:pPr>
          <w:r>
            <w:rPr>
              <w:rFonts w:hint="cs"/>
              <w:rtl/>
            </w:rPr>
            <w:t xml:space="preserv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A4ACE"/>
    <w:rsid w:val="002A56A9"/>
    <w:rsid w:val="002D02C4"/>
    <w:rsid w:val="00345C9D"/>
    <w:rsid w:val="00403564"/>
    <w:rsid w:val="00405FEA"/>
    <w:rsid w:val="00414CB6"/>
    <w:rsid w:val="004745AE"/>
    <w:rsid w:val="0048651F"/>
    <w:rsid w:val="005157ED"/>
    <w:rsid w:val="00556D67"/>
    <w:rsid w:val="00746837"/>
    <w:rsid w:val="00793995"/>
    <w:rsid w:val="007C6F98"/>
    <w:rsid w:val="007E254A"/>
    <w:rsid w:val="0086433F"/>
    <w:rsid w:val="0088069F"/>
    <w:rsid w:val="008B4366"/>
    <w:rsid w:val="009133C7"/>
    <w:rsid w:val="009178E4"/>
    <w:rsid w:val="00961B27"/>
    <w:rsid w:val="00990020"/>
    <w:rsid w:val="00AA7CE3"/>
    <w:rsid w:val="00B42D7E"/>
    <w:rsid w:val="00B45677"/>
    <w:rsid w:val="00B91FA3"/>
    <w:rsid w:val="00BE6557"/>
    <w:rsid w:val="00C70435"/>
    <w:rsid w:val="00C96C06"/>
    <w:rsid w:val="00DB595E"/>
    <w:rsid w:val="00E31BF6"/>
    <w:rsid w:val="00E81DB1"/>
    <w:rsid w:val="00F04DC1"/>
    <w:rsid w:val="00F678CA"/>
    <w:rsid w:val="00FD771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990020"/>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D7717"/>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D7717"/>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D7717"/>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D7717"/>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D7717"/>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BE6557"/>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BE6557"/>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BE6557"/>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BE6557"/>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BE6557"/>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BE6557"/>
    <w:pPr>
      <w:bidi/>
      <w:spacing w:after="0" w:line="240" w:lineRule="auto"/>
    </w:pPr>
    <w:rPr>
      <w:rFonts w:ascii="Times New Roman" w:eastAsia="Times New Roman" w:hAnsi="Times New Roman" w:cs="David"/>
      <w:noProof/>
      <w:sz w:val="24"/>
      <w:szCs w:val="24"/>
    </w:rPr>
  </w:style>
  <w:style w:type="paragraph" w:customStyle="1" w:styleId="E51F371F67C640BBA5DF437EA85FCA4F">
    <w:name w:val="E51F371F67C640BBA5DF437EA85FCA4F"/>
    <w:rsid w:val="00BE6557"/>
    <w:pPr>
      <w:bidi/>
      <w:spacing w:after="160" w:line="259" w:lineRule="auto"/>
    </w:pPr>
  </w:style>
  <w:style w:type="paragraph" w:customStyle="1" w:styleId="361372C4DB7441E9BE125AC684A25A0C">
    <w:name w:val="361372C4DB7441E9BE125AC684A25A0C"/>
    <w:rsid w:val="00BE6557"/>
    <w:pPr>
      <w:bidi/>
      <w:spacing w:after="160" w:line="259" w:lineRule="auto"/>
    </w:pPr>
  </w:style>
  <w:style w:type="paragraph" w:customStyle="1" w:styleId="B991E1A8405A4081916BCB7F7B4904F4">
    <w:name w:val="B991E1A8405A4081916BCB7F7B4904F4"/>
    <w:rsid w:val="00BE6557"/>
    <w:pPr>
      <w:bidi/>
      <w:spacing w:after="160" w:line="259" w:lineRule="auto"/>
    </w:pPr>
  </w:style>
  <w:style w:type="paragraph" w:customStyle="1" w:styleId="91567ABB6F614CDF8F211944D11D8557">
    <w:name w:val="91567ABB6F614CDF8F211944D11D8557"/>
    <w:rsid w:val="00BE6557"/>
    <w:pPr>
      <w:bidi/>
      <w:spacing w:after="160" w:line="259" w:lineRule="auto"/>
    </w:pPr>
  </w:style>
  <w:style w:type="paragraph" w:customStyle="1" w:styleId="361372C4DB7441E9BE125AC684A25A0C1">
    <w:name w:val="361372C4DB7441E9BE125AC684A25A0C1"/>
    <w:rsid w:val="004745AE"/>
    <w:pPr>
      <w:bidi/>
      <w:spacing w:after="0" w:line="240" w:lineRule="auto"/>
    </w:pPr>
    <w:rPr>
      <w:rFonts w:ascii="Times New Roman" w:eastAsia="Times New Roman" w:hAnsi="Times New Roman" w:cs="David"/>
      <w:noProof/>
      <w:sz w:val="24"/>
      <w:szCs w:val="24"/>
    </w:rPr>
  </w:style>
  <w:style w:type="paragraph" w:customStyle="1" w:styleId="B991E1A8405A4081916BCB7F7B4904F41">
    <w:name w:val="B991E1A8405A4081916BCB7F7B4904F41"/>
    <w:rsid w:val="004745AE"/>
    <w:pPr>
      <w:bidi/>
      <w:spacing w:after="0" w:line="240" w:lineRule="auto"/>
    </w:pPr>
    <w:rPr>
      <w:rFonts w:ascii="Times New Roman" w:eastAsia="Times New Roman" w:hAnsi="Times New Roman" w:cs="David"/>
      <w:noProof/>
      <w:sz w:val="24"/>
      <w:szCs w:val="24"/>
    </w:rPr>
  </w:style>
  <w:style w:type="paragraph" w:customStyle="1" w:styleId="91567ABB6F614CDF8F211944D11D85571">
    <w:name w:val="91567ABB6F614CDF8F211944D11D85571"/>
    <w:rsid w:val="004745AE"/>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4745AE"/>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4745AE"/>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4745AE"/>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4745AE"/>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4745AE"/>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4745AE"/>
    <w:pPr>
      <w:bidi/>
      <w:spacing w:after="0" w:line="240" w:lineRule="auto"/>
    </w:pPr>
    <w:rPr>
      <w:rFonts w:ascii="Times New Roman" w:eastAsia="Times New Roman" w:hAnsi="Times New Roman" w:cs="David"/>
      <w:noProof/>
      <w:sz w:val="24"/>
      <w:szCs w:val="24"/>
    </w:rPr>
  </w:style>
  <w:style w:type="paragraph" w:customStyle="1" w:styleId="05E7DE95815641A5862D6440CD534EB0">
    <w:name w:val="05E7DE95815641A5862D6440CD534EB0"/>
    <w:rsid w:val="0086433F"/>
    <w:pPr>
      <w:bidi/>
      <w:spacing w:after="0" w:line="240" w:lineRule="auto"/>
    </w:pPr>
    <w:rPr>
      <w:rFonts w:ascii="Times New Roman" w:eastAsia="Times New Roman" w:hAnsi="Times New Roman" w:cs="David"/>
      <w:noProof/>
      <w:sz w:val="24"/>
      <w:szCs w:val="24"/>
    </w:rPr>
  </w:style>
  <w:style w:type="paragraph" w:customStyle="1" w:styleId="CDA250771D1A45329B0F0271A0383878">
    <w:name w:val="CDA250771D1A45329B0F0271A0383878"/>
    <w:rsid w:val="0086433F"/>
    <w:pPr>
      <w:bidi/>
      <w:spacing w:after="0" w:line="240" w:lineRule="auto"/>
    </w:pPr>
    <w:rPr>
      <w:rFonts w:ascii="Times New Roman" w:eastAsia="Times New Roman" w:hAnsi="Times New Roman" w:cs="David"/>
      <w:noProof/>
      <w:sz w:val="24"/>
      <w:szCs w:val="24"/>
    </w:rPr>
  </w:style>
  <w:style w:type="paragraph" w:customStyle="1" w:styleId="BAA7C8D270FD4AD58EEC53F0343E378A">
    <w:name w:val="BAA7C8D270FD4AD58EEC53F0343E378A"/>
    <w:rsid w:val="0086433F"/>
    <w:pPr>
      <w:bidi/>
      <w:spacing w:after="0" w:line="240" w:lineRule="auto"/>
    </w:pPr>
    <w:rPr>
      <w:rFonts w:ascii="Times New Roman" w:eastAsia="Times New Roman" w:hAnsi="Times New Roman" w:cs="David"/>
      <w:noProof/>
      <w:sz w:val="24"/>
      <w:szCs w:val="24"/>
    </w:rPr>
  </w:style>
  <w:style w:type="paragraph" w:customStyle="1" w:styleId="29BBD408062D41728D690A1D9BD5B602">
    <w:name w:val="29BBD408062D41728D690A1D9BD5B602"/>
    <w:rsid w:val="0086433F"/>
    <w:pPr>
      <w:bidi/>
      <w:spacing w:after="0" w:line="240" w:lineRule="auto"/>
    </w:pPr>
    <w:rPr>
      <w:rFonts w:ascii="Times New Roman" w:eastAsia="Times New Roman" w:hAnsi="Times New Roman" w:cs="David"/>
      <w:noProof/>
      <w:sz w:val="24"/>
      <w:szCs w:val="24"/>
    </w:rPr>
  </w:style>
  <w:style w:type="paragraph" w:customStyle="1" w:styleId="361372C4DB7441E9BE125AC684A25A0C2">
    <w:name w:val="361372C4DB7441E9BE125AC684A25A0C2"/>
    <w:rsid w:val="0086433F"/>
    <w:pPr>
      <w:bidi/>
      <w:spacing w:after="0" w:line="240" w:lineRule="auto"/>
    </w:pPr>
    <w:rPr>
      <w:rFonts w:ascii="Times New Roman" w:eastAsia="Times New Roman" w:hAnsi="Times New Roman" w:cs="David"/>
      <w:noProof/>
      <w:sz w:val="24"/>
      <w:szCs w:val="24"/>
    </w:rPr>
  </w:style>
  <w:style w:type="paragraph" w:customStyle="1" w:styleId="B991E1A8405A4081916BCB7F7B4904F42">
    <w:name w:val="B991E1A8405A4081916BCB7F7B4904F42"/>
    <w:rsid w:val="0086433F"/>
    <w:pPr>
      <w:bidi/>
      <w:spacing w:after="0" w:line="240" w:lineRule="auto"/>
    </w:pPr>
    <w:rPr>
      <w:rFonts w:ascii="Times New Roman" w:eastAsia="Times New Roman" w:hAnsi="Times New Roman" w:cs="David"/>
      <w:noProof/>
      <w:sz w:val="24"/>
      <w:szCs w:val="24"/>
    </w:rPr>
  </w:style>
  <w:style w:type="paragraph" w:customStyle="1" w:styleId="91567ABB6F614CDF8F211944D11D85572">
    <w:name w:val="91567ABB6F614CDF8F211944D11D85572"/>
    <w:rsid w:val="0086433F"/>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86433F"/>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86433F"/>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86433F"/>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86433F"/>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86433F"/>
    <w:pPr>
      <w:bidi/>
      <w:spacing w:after="0" w:line="240" w:lineRule="auto"/>
    </w:pPr>
    <w:rPr>
      <w:rFonts w:ascii="Times New Roman" w:eastAsia="Times New Roman" w:hAnsi="Times New Roman" w:cs="David"/>
      <w:noProof/>
      <w:sz w:val="24"/>
      <w:szCs w:val="24"/>
    </w:rPr>
  </w:style>
  <w:style w:type="paragraph" w:customStyle="1" w:styleId="D290653DA13E4E738B7E725F79D7332911">
    <w:name w:val="D290653DA13E4E738B7E725F79D7332911"/>
    <w:rsid w:val="0086433F"/>
    <w:pPr>
      <w:bidi/>
      <w:spacing w:after="0" w:line="240" w:lineRule="auto"/>
    </w:pPr>
    <w:rPr>
      <w:rFonts w:ascii="Times New Roman" w:eastAsia="Times New Roman" w:hAnsi="Times New Roman" w:cs="David"/>
      <w:noProof/>
      <w:sz w:val="24"/>
      <w:szCs w:val="24"/>
    </w:rPr>
  </w:style>
  <w:style w:type="paragraph" w:customStyle="1" w:styleId="05E7DE95815641A5862D6440CD534EB01">
    <w:name w:val="05E7DE95815641A5862D6440CD534EB01"/>
    <w:rsid w:val="00B42D7E"/>
    <w:pPr>
      <w:bidi/>
      <w:spacing w:after="0" w:line="240" w:lineRule="auto"/>
    </w:pPr>
    <w:rPr>
      <w:rFonts w:ascii="Times New Roman" w:eastAsia="Times New Roman" w:hAnsi="Times New Roman" w:cs="David"/>
      <w:noProof/>
      <w:sz w:val="24"/>
      <w:szCs w:val="24"/>
    </w:rPr>
  </w:style>
  <w:style w:type="paragraph" w:customStyle="1" w:styleId="CDA250771D1A45329B0F0271A03838781">
    <w:name w:val="CDA250771D1A45329B0F0271A03838781"/>
    <w:rsid w:val="00B42D7E"/>
    <w:pPr>
      <w:bidi/>
      <w:spacing w:after="0" w:line="240" w:lineRule="auto"/>
    </w:pPr>
    <w:rPr>
      <w:rFonts w:ascii="Times New Roman" w:eastAsia="Times New Roman" w:hAnsi="Times New Roman" w:cs="David"/>
      <w:noProof/>
      <w:sz w:val="24"/>
      <w:szCs w:val="24"/>
    </w:rPr>
  </w:style>
  <w:style w:type="paragraph" w:customStyle="1" w:styleId="BAA7C8D270FD4AD58EEC53F0343E378A1">
    <w:name w:val="BAA7C8D270FD4AD58EEC53F0343E378A1"/>
    <w:rsid w:val="00B42D7E"/>
    <w:pPr>
      <w:bidi/>
      <w:spacing w:after="0" w:line="240" w:lineRule="auto"/>
    </w:pPr>
    <w:rPr>
      <w:rFonts w:ascii="Times New Roman" w:eastAsia="Times New Roman" w:hAnsi="Times New Roman" w:cs="David"/>
      <w:noProof/>
      <w:sz w:val="24"/>
      <w:szCs w:val="24"/>
    </w:rPr>
  </w:style>
  <w:style w:type="paragraph" w:customStyle="1" w:styleId="29BBD408062D41728D690A1D9BD5B6021">
    <w:name w:val="29BBD408062D41728D690A1D9BD5B6021"/>
    <w:rsid w:val="00B42D7E"/>
    <w:pPr>
      <w:bidi/>
      <w:spacing w:after="0" w:line="240" w:lineRule="auto"/>
    </w:pPr>
    <w:rPr>
      <w:rFonts w:ascii="Times New Roman" w:eastAsia="Times New Roman" w:hAnsi="Times New Roman" w:cs="David"/>
      <w:noProof/>
      <w:sz w:val="24"/>
      <w:szCs w:val="24"/>
    </w:rPr>
  </w:style>
  <w:style w:type="paragraph" w:customStyle="1" w:styleId="361372C4DB7441E9BE125AC684A25A0C3">
    <w:name w:val="361372C4DB7441E9BE125AC684A25A0C3"/>
    <w:rsid w:val="00B42D7E"/>
    <w:pPr>
      <w:bidi/>
      <w:spacing w:after="0" w:line="240" w:lineRule="auto"/>
    </w:pPr>
    <w:rPr>
      <w:rFonts w:ascii="Times New Roman" w:eastAsia="Times New Roman" w:hAnsi="Times New Roman" w:cs="David"/>
      <w:noProof/>
      <w:sz w:val="24"/>
      <w:szCs w:val="24"/>
    </w:rPr>
  </w:style>
  <w:style w:type="paragraph" w:customStyle="1" w:styleId="B991E1A8405A4081916BCB7F7B4904F43">
    <w:name w:val="B991E1A8405A4081916BCB7F7B4904F43"/>
    <w:rsid w:val="00B42D7E"/>
    <w:pPr>
      <w:bidi/>
      <w:spacing w:after="0" w:line="240" w:lineRule="auto"/>
    </w:pPr>
    <w:rPr>
      <w:rFonts w:ascii="Times New Roman" w:eastAsia="Times New Roman" w:hAnsi="Times New Roman" w:cs="David"/>
      <w:noProof/>
      <w:sz w:val="24"/>
      <w:szCs w:val="24"/>
    </w:rPr>
  </w:style>
  <w:style w:type="paragraph" w:customStyle="1" w:styleId="91567ABB6F614CDF8F211944D11D85573">
    <w:name w:val="91567ABB6F614CDF8F211944D11D85573"/>
    <w:rsid w:val="00B42D7E"/>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B42D7E"/>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B42D7E"/>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B42D7E"/>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B42D7E"/>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B42D7E"/>
    <w:pPr>
      <w:bidi/>
      <w:spacing w:after="0" w:line="240" w:lineRule="auto"/>
    </w:pPr>
    <w:rPr>
      <w:rFonts w:ascii="Times New Roman" w:eastAsia="Times New Roman" w:hAnsi="Times New Roman" w:cs="David"/>
      <w:noProof/>
      <w:sz w:val="24"/>
      <w:szCs w:val="24"/>
    </w:rPr>
  </w:style>
  <w:style w:type="paragraph" w:customStyle="1" w:styleId="D290653DA13E4E738B7E725F79D7332912">
    <w:name w:val="D290653DA13E4E738B7E725F79D7332912"/>
    <w:rsid w:val="00B42D7E"/>
    <w:pPr>
      <w:bidi/>
      <w:spacing w:after="0" w:line="240" w:lineRule="auto"/>
    </w:pPr>
    <w:rPr>
      <w:rFonts w:ascii="Times New Roman" w:eastAsia="Times New Roman" w:hAnsi="Times New Roman" w:cs="David"/>
      <w:noProof/>
      <w:sz w:val="24"/>
      <w:szCs w:val="24"/>
    </w:rPr>
  </w:style>
  <w:style w:type="paragraph" w:customStyle="1" w:styleId="05E7DE95815641A5862D6440CD534EB02">
    <w:name w:val="05E7DE95815641A5862D6440CD534EB02"/>
    <w:rsid w:val="00990020"/>
    <w:pPr>
      <w:bidi/>
      <w:spacing w:after="0" w:line="240" w:lineRule="auto"/>
    </w:pPr>
    <w:rPr>
      <w:rFonts w:ascii="Times New Roman" w:eastAsia="Times New Roman" w:hAnsi="Times New Roman" w:cs="David"/>
      <w:noProof/>
      <w:sz w:val="24"/>
      <w:szCs w:val="24"/>
    </w:rPr>
  </w:style>
  <w:style w:type="paragraph" w:customStyle="1" w:styleId="CDA250771D1A45329B0F0271A03838782">
    <w:name w:val="CDA250771D1A45329B0F0271A03838782"/>
    <w:rsid w:val="00990020"/>
    <w:pPr>
      <w:bidi/>
      <w:spacing w:after="0" w:line="240" w:lineRule="auto"/>
    </w:pPr>
    <w:rPr>
      <w:rFonts w:ascii="Times New Roman" w:eastAsia="Times New Roman" w:hAnsi="Times New Roman" w:cs="David"/>
      <w:noProof/>
      <w:sz w:val="24"/>
      <w:szCs w:val="24"/>
    </w:rPr>
  </w:style>
  <w:style w:type="paragraph" w:customStyle="1" w:styleId="BAA7C8D270FD4AD58EEC53F0343E378A2">
    <w:name w:val="BAA7C8D270FD4AD58EEC53F0343E378A2"/>
    <w:rsid w:val="00990020"/>
    <w:pPr>
      <w:bidi/>
      <w:spacing w:after="0" w:line="240" w:lineRule="auto"/>
    </w:pPr>
    <w:rPr>
      <w:rFonts w:ascii="Times New Roman" w:eastAsia="Times New Roman" w:hAnsi="Times New Roman" w:cs="David"/>
      <w:noProof/>
      <w:sz w:val="24"/>
      <w:szCs w:val="24"/>
    </w:rPr>
  </w:style>
  <w:style w:type="paragraph" w:customStyle="1" w:styleId="29BBD408062D41728D690A1D9BD5B6022">
    <w:name w:val="29BBD408062D41728D690A1D9BD5B6022"/>
    <w:rsid w:val="00990020"/>
    <w:pPr>
      <w:bidi/>
      <w:spacing w:after="0" w:line="240" w:lineRule="auto"/>
    </w:pPr>
    <w:rPr>
      <w:rFonts w:ascii="Times New Roman" w:eastAsia="Times New Roman" w:hAnsi="Times New Roman" w:cs="David"/>
      <w:noProof/>
      <w:sz w:val="24"/>
      <w:szCs w:val="24"/>
    </w:rPr>
  </w:style>
  <w:style w:type="paragraph" w:customStyle="1" w:styleId="361372C4DB7441E9BE125AC684A25A0C4">
    <w:name w:val="361372C4DB7441E9BE125AC684A25A0C4"/>
    <w:rsid w:val="00990020"/>
    <w:pPr>
      <w:bidi/>
      <w:spacing w:after="0" w:line="240" w:lineRule="auto"/>
    </w:pPr>
    <w:rPr>
      <w:rFonts w:ascii="Times New Roman" w:eastAsia="Times New Roman" w:hAnsi="Times New Roman" w:cs="David"/>
      <w:noProof/>
      <w:sz w:val="24"/>
      <w:szCs w:val="24"/>
    </w:rPr>
  </w:style>
  <w:style w:type="paragraph" w:customStyle="1" w:styleId="B991E1A8405A4081916BCB7F7B4904F44">
    <w:name w:val="B991E1A8405A4081916BCB7F7B4904F44"/>
    <w:rsid w:val="00990020"/>
    <w:pPr>
      <w:bidi/>
      <w:spacing w:after="0" w:line="240" w:lineRule="auto"/>
    </w:pPr>
    <w:rPr>
      <w:rFonts w:ascii="Times New Roman" w:eastAsia="Times New Roman" w:hAnsi="Times New Roman" w:cs="David"/>
      <w:noProof/>
      <w:sz w:val="24"/>
      <w:szCs w:val="24"/>
    </w:rPr>
  </w:style>
  <w:style w:type="paragraph" w:customStyle="1" w:styleId="91567ABB6F614CDF8F211944D11D85574">
    <w:name w:val="91567ABB6F614CDF8F211944D11D85574"/>
    <w:rsid w:val="00990020"/>
    <w:pPr>
      <w:bidi/>
      <w:spacing w:after="0" w:line="240" w:lineRule="auto"/>
    </w:pPr>
    <w:rPr>
      <w:rFonts w:ascii="Times New Roman" w:eastAsia="Times New Roman" w:hAnsi="Times New Roman" w:cs="David"/>
      <w:noProof/>
      <w:sz w:val="24"/>
      <w:szCs w:val="24"/>
    </w:rPr>
  </w:style>
  <w:style w:type="paragraph" w:customStyle="1" w:styleId="E6E6A917CC5E4519A8F2E864C48E22F28">
    <w:name w:val="E6E6A917CC5E4519A8F2E864C48E22F28"/>
    <w:rsid w:val="00990020"/>
    <w:pPr>
      <w:bidi/>
      <w:spacing w:after="0" w:line="240" w:lineRule="auto"/>
    </w:pPr>
    <w:rPr>
      <w:rFonts w:ascii="Times New Roman" w:eastAsia="Times New Roman" w:hAnsi="Times New Roman" w:cs="David"/>
      <w:noProof/>
      <w:sz w:val="24"/>
      <w:szCs w:val="24"/>
    </w:rPr>
  </w:style>
  <w:style w:type="paragraph" w:customStyle="1" w:styleId="9DC4FF55E52B4E209349FC40470DD4188">
    <w:name w:val="9DC4FF55E52B4E209349FC40470DD4188"/>
    <w:rsid w:val="00990020"/>
    <w:pPr>
      <w:bidi/>
      <w:spacing w:after="0" w:line="240" w:lineRule="auto"/>
    </w:pPr>
    <w:rPr>
      <w:rFonts w:ascii="Times New Roman" w:eastAsia="Times New Roman" w:hAnsi="Times New Roman" w:cs="David"/>
      <w:noProof/>
      <w:sz w:val="24"/>
      <w:szCs w:val="24"/>
    </w:rPr>
  </w:style>
  <w:style w:type="paragraph" w:customStyle="1" w:styleId="112E7BE5CCF64A68A3D497F283A4D6958">
    <w:name w:val="112E7BE5CCF64A68A3D497F283A4D6958"/>
    <w:rsid w:val="00990020"/>
    <w:pPr>
      <w:bidi/>
      <w:spacing w:after="0" w:line="240" w:lineRule="auto"/>
    </w:pPr>
    <w:rPr>
      <w:rFonts w:ascii="Times New Roman" w:eastAsia="Times New Roman" w:hAnsi="Times New Roman" w:cs="David"/>
      <w:noProof/>
      <w:sz w:val="24"/>
      <w:szCs w:val="24"/>
    </w:rPr>
  </w:style>
  <w:style w:type="paragraph" w:customStyle="1" w:styleId="ECC435E5782A4F3FB39457279E24BE886">
    <w:name w:val="ECC435E5782A4F3FB39457279E24BE886"/>
    <w:rsid w:val="00990020"/>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990020"/>
    <w:pPr>
      <w:bidi/>
      <w:spacing w:after="0" w:line="240" w:lineRule="auto"/>
    </w:pPr>
    <w:rPr>
      <w:rFonts w:ascii="Times New Roman" w:eastAsia="Times New Roman" w:hAnsi="Times New Roman" w:cs="David"/>
      <w:noProof/>
      <w:sz w:val="24"/>
      <w:szCs w:val="24"/>
    </w:rPr>
  </w:style>
  <w:style w:type="paragraph" w:customStyle="1" w:styleId="D290653DA13E4E738B7E725F79D7332913">
    <w:name w:val="D290653DA13E4E738B7E725F79D7332913"/>
    <w:rsid w:val="00990020"/>
    <w:pPr>
      <w:bidi/>
      <w:spacing w:after="0" w:line="240" w:lineRule="auto"/>
    </w:pPr>
    <w:rPr>
      <w:rFonts w:ascii="Times New Roman" w:eastAsia="Times New Roman" w:hAnsi="Times New Roman" w:cs="David"/>
      <w:noProof/>
      <w:sz w:val="24"/>
      <w:szCs w:val="24"/>
    </w:rPr>
  </w:style>
  <w:style w:type="paragraph" w:customStyle="1" w:styleId="05E7DE95815641A5862D6440CD534EB03">
    <w:name w:val="05E7DE95815641A5862D6440CD534EB03"/>
    <w:rsid w:val="00990020"/>
    <w:pPr>
      <w:bidi/>
      <w:spacing w:after="0" w:line="240" w:lineRule="auto"/>
    </w:pPr>
    <w:rPr>
      <w:rFonts w:ascii="Times New Roman" w:eastAsia="Times New Roman" w:hAnsi="Times New Roman" w:cs="David"/>
      <w:noProof/>
      <w:sz w:val="24"/>
      <w:szCs w:val="24"/>
    </w:rPr>
  </w:style>
  <w:style w:type="paragraph" w:customStyle="1" w:styleId="CDA250771D1A45329B0F0271A03838783">
    <w:name w:val="CDA250771D1A45329B0F0271A03838783"/>
    <w:rsid w:val="00990020"/>
    <w:pPr>
      <w:bidi/>
      <w:spacing w:after="0" w:line="240" w:lineRule="auto"/>
    </w:pPr>
    <w:rPr>
      <w:rFonts w:ascii="Times New Roman" w:eastAsia="Times New Roman" w:hAnsi="Times New Roman" w:cs="David"/>
      <w:noProof/>
      <w:sz w:val="24"/>
      <w:szCs w:val="24"/>
    </w:rPr>
  </w:style>
  <w:style w:type="paragraph" w:customStyle="1" w:styleId="BAA7C8D270FD4AD58EEC53F0343E378A3">
    <w:name w:val="BAA7C8D270FD4AD58EEC53F0343E378A3"/>
    <w:rsid w:val="00990020"/>
    <w:pPr>
      <w:bidi/>
      <w:spacing w:after="0" w:line="240" w:lineRule="auto"/>
    </w:pPr>
    <w:rPr>
      <w:rFonts w:ascii="Times New Roman" w:eastAsia="Times New Roman" w:hAnsi="Times New Roman" w:cs="David"/>
      <w:noProof/>
      <w:sz w:val="24"/>
      <w:szCs w:val="24"/>
    </w:rPr>
  </w:style>
  <w:style w:type="paragraph" w:customStyle="1" w:styleId="29BBD408062D41728D690A1D9BD5B6023">
    <w:name w:val="29BBD408062D41728D690A1D9BD5B6023"/>
    <w:rsid w:val="00990020"/>
    <w:pPr>
      <w:bidi/>
      <w:spacing w:after="0" w:line="240" w:lineRule="auto"/>
    </w:pPr>
    <w:rPr>
      <w:rFonts w:ascii="Times New Roman" w:eastAsia="Times New Roman" w:hAnsi="Times New Roman" w:cs="David"/>
      <w:noProof/>
      <w:sz w:val="24"/>
      <w:szCs w:val="24"/>
    </w:rPr>
  </w:style>
  <w:style w:type="paragraph" w:customStyle="1" w:styleId="361372C4DB7441E9BE125AC684A25A0C5">
    <w:name w:val="361372C4DB7441E9BE125AC684A25A0C5"/>
    <w:rsid w:val="00990020"/>
    <w:pPr>
      <w:bidi/>
      <w:spacing w:after="0" w:line="240" w:lineRule="auto"/>
    </w:pPr>
    <w:rPr>
      <w:rFonts w:ascii="Times New Roman" w:eastAsia="Times New Roman" w:hAnsi="Times New Roman" w:cs="David"/>
      <w:noProof/>
      <w:sz w:val="24"/>
      <w:szCs w:val="24"/>
    </w:rPr>
  </w:style>
  <w:style w:type="paragraph" w:customStyle="1" w:styleId="B991E1A8405A4081916BCB7F7B4904F45">
    <w:name w:val="B991E1A8405A4081916BCB7F7B4904F45"/>
    <w:rsid w:val="00990020"/>
    <w:pPr>
      <w:bidi/>
      <w:spacing w:after="0" w:line="240" w:lineRule="auto"/>
    </w:pPr>
    <w:rPr>
      <w:rFonts w:ascii="Times New Roman" w:eastAsia="Times New Roman" w:hAnsi="Times New Roman" w:cs="David"/>
      <w:noProof/>
      <w:sz w:val="24"/>
      <w:szCs w:val="24"/>
    </w:rPr>
  </w:style>
  <w:style w:type="paragraph" w:customStyle="1" w:styleId="91567ABB6F614CDF8F211944D11D85575">
    <w:name w:val="91567ABB6F614CDF8F211944D11D85575"/>
    <w:rsid w:val="00990020"/>
    <w:pPr>
      <w:bidi/>
      <w:spacing w:after="0" w:line="240" w:lineRule="auto"/>
    </w:pPr>
    <w:rPr>
      <w:rFonts w:ascii="Times New Roman" w:eastAsia="Times New Roman" w:hAnsi="Times New Roman" w:cs="David"/>
      <w:noProof/>
      <w:sz w:val="24"/>
      <w:szCs w:val="24"/>
    </w:rPr>
  </w:style>
  <w:style w:type="paragraph" w:customStyle="1" w:styleId="E6E6A917CC5E4519A8F2E864C48E22F29">
    <w:name w:val="E6E6A917CC5E4519A8F2E864C48E22F29"/>
    <w:rsid w:val="00990020"/>
    <w:pPr>
      <w:bidi/>
      <w:spacing w:after="0" w:line="240" w:lineRule="auto"/>
    </w:pPr>
    <w:rPr>
      <w:rFonts w:ascii="Times New Roman" w:eastAsia="Times New Roman" w:hAnsi="Times New Roman" w:cs="David"/>
      <w:noProof/>
      <w:sz w:val="24"/>
      <w:szCs w:val="24"/>
    </w:rPr>
  </w:style>
  <w:style w:type="paragraph" w:customStyle="1" w:styleId="9DC4FF55E52B4E209349FC40470DD4189">
    <w:name w:val="9DC4FF55E52B4E209349FC40470DD4189"/>
    <w:rsid w:val="00990020"/>
    <w:pPr>
      <w:bidi/>
      <w:spacing w:after="0" w:line="240" w:lineRule="auto"/>
    </w:pPr>
    <w:rPr>
      <w:rFonts w:ascii="Times New Roman" w:eastAsia="Times New Roman" w:hAnsi="Times New Roman" w:cs="David"/>
      <w:noProof/>
      <w:sz w:val="24"/>
      <w:szCs w:val="24"/>
    </w:rPr>
  </w:style>
  <w:style w:type="paragraph" w:customStyle="1" w:styleId="112E7BE5CCF64A68A3D497F283A4D6959">
    <w:name w:val="112E7BE5CCF64A68A3D497F283A4D6959"/>
    <w:rsid w:val="00990020"/>
    <w:pPr>
      <w:bidi/>
      <w:spacing w:after="0" w:line="240" w:lineRule="auto"/>
    </w:pPr>
    <w:rPr>
      <w:rFonts w:ascii="Times New Roman" w:eastAsia="Times New Roman" w:hAnsi="Times New Roman" w:cs="David"/>
      <w:noProof/>
      <w:sz w:val="24"/>
      <w:szCs w:val="24"/>
    </w:rPr>
  </w:style>
  <w:style w:type="paragraph" w:customStyle="1" w:styleId="ECC435E5782A4F3FB39457279E24BE887">
    <w:name w:val="ECC435E5782A4F3FB39457279E24BE887"/>
    <w:rsid w:val="00990020"/>
    <w:pPr>
      <w:bidi/>
      <w:spacing w:after="0" w:line="240" w:lineRule="auto"/>
    </w:pPr>
    <w:rPr>
      <w:rFonts w:ascii="Times New Roman" w:eastAsia="Times New Roman" w:hAnsi="Times New Roman" w:cs="David"/>
      <w:noProof/>
      <w:sz w:val="24"/>
      <w:szCs w:val="24"/>
    </w:rPr>
  </w:style>
  <w:style w:type="paragraph" w:customStyle="1" w:styleId="E460D38E05664FF79D4EFF282EF8EC9921">
    <w:name w:val="E460D38E05664FF79D4EFF282EF8EC9921"/>
    <w:rsid w:val="00990020"/>
    <w:pPr>
      <w:bidi/>
      <w:spacing w:after="0" w:line="240" w:lineRule="auto"/>
    </w:pPr>
    <w:rPr>
      <w:rFonts w:ascii="Times New Roman" w:eastAsia="Times New Roman" w:hAnsi="Times New Roman" w:cs="David"/>
      <w:noProof/>
      <w:sz w:val="24"/>
      <w:szCs w:val="24"/>
    </w:rPr>
  </w:style>
  <w:style w:type="paragraph" w:customStyle="1" w:styleId="D290653DA13E4E738B7E725F79D7332914">
    <w:name w:val="D290653DA13E4E738B7E725F79D7332914"/>
    <w:rsid w:val="00990020"/>
    <w:pPr>
      <w:bidi/>
      <w:spacing w:after="0" w:line="240" w:lineRule="auto"/>
    </w:pPr>
    <w:rPr>
      <w:rFonts w:ascii="Times New Roman" w:eastAsia="Times New Roman" w:hAnsi="Times New Roman" w:cs="David"/>
      <w:noProof/>
      <w:sz w:val="24"/>
      <w:szCs w:val="24"/>
    </w:rPr>
  </w:style>
  <w:style w:type="paragraph" w:customStyle="1" w:styleId="05E7DE95815641A5862D6440CD534EB04">
    <w:name w:val="05E7DE95815641A5862D6440CD534EB04"/>
    <w:rsid w:val="00746837"/>
    <w:pPr>
      <w:bidi/>
      <w:spacing w:after="0" w:line="240" w:lineRule="auto"/>
    </w:pPr>
    <w:rPr>
      <w:rFonts w:ascii="Times New Roman" w:eastAsia="Times New Roman" w:hAnsi="Times New Roman" w:cs="David"/>
      <w:noProof/>
      <w:sz w:val="24"/>
      <w:szCs w:val="24"/>
    </w:rPr>
  </w:style>
  <w:style w:type="paragraph" w:customStyle="1" w:styleId="CDA250771D1A45329B0F0271A03838784">
    <w:name w:val="CDA250771D1A45329B0F0271A03838784"/>
    <w:rsid w:val="00746837"/>
    <w:pPr>
      <w:bidi/>
      <w:spacing w:after="0" w:line="240" w:lineRule="auto"/>
    </w:pPr>
    <w:rPr>
      <w:rFonts w:ascii="Times New Roman" w:eastAsia="Times New Roman" w:hAnsi="Times New Roman" w:cs="David"/>
      <w:noProof/>
      <w:sz w:val="24"/>
      <w:szCs w:val="24"/>
    </w:rPr>
  </w:style>
  <w:style w:type="paragraph" w:customStyle="1" w:styleId="BAA7C8D270FD4AD58EEC53F0343E378A4">
    <w:name w:val="BAA7C8D270FD4AD58EEC53F0343E378A4"/>
    <w:rsid w:val="00746837"/>
    <w:pPr>
      <w:bidi/>
      <w:spacing w:after="0" w:line="240" w:lineRule="auto"/>
    </w:pPr>
    <w:rPr>
      <w:rFonts w:ascii="Times New Roman" w:eastAsia="Times New Roman" w:hAnsi="Times New Roman" w:cs="David"/>
      <w:noProof/>
      <w:sz w:val="24"/>
      <w:szCs w:val="24"/>
    </w:rPr>
  </w:style>
  <w:style w:type="paragraph" w:customStyle="1" w:styleId="29BBD408062D41728D690A1D9BD5B6024">
    <w:name w:val="29BBD408062D41728D690A1D9BD5B6024"/>
    <w:rsid w:val="00746837"/>
    <w:pPr>
      <w:bidi/>
      <w:spacing w:after="0" w:line="240" w:lineRule="auto"/>
    </w:pPr>
    <w:rPr>
      <w:rFonts w:ascii="Times New Roman" w:eastAsia="Times New Roman" w:hAnsi="Times New Roman" w:cs="David"/>
      <w:noProof/>
      <w:sz w:val="24"/>
      <w:szCs w:val="24"/>
    </w:rPr>
  </w:style>
  <w:style w:type="paragraph" w:customStyle="1" w:styleId="4BF33E1147BC426FAB8DAED3C8F447A2">
    <w:name w:val="4BF33E1147BC426FAB8DAED3C8F447A2"/>
    <w:rsid w:val="00746837"/>
    <w:pPr>
      <w:bidi/>
      <w:spacing w:after="0" w:line="240" w:lineRule="auto"/>
    </w:pPr>
    <w:rPr>
      <w:rFonts w:ascii="Times New Roman" w:eastAsia="Times New Roman" w:hAnsi="Times New Roman" w:cs="David"/>
      <w:noProof/>
      <w:sz w:val="24"/>
      <w:szCs w:val="24"/>
    </w:rPr>
  </w:style>
  <w:style w:type="paragraph" w:customStyle="1" w:styleId="D33668F5E1424FFE90641F85E0C45E20">
    <w:name w:val="D33668F5E1424FFE90641F85E0C45E20"/>
    <w:rsid w:val="00746837"/>
    <w:pPr>
      <w:bidi/>
      <w:spacing w:after="0" w:line="240" w:lineRule="auto"/>
    </w:pPr>
    <w:rPr>
      <w:rFonts w:ascii="Times New Roman" w:eastAsia="Times New Roman" w:hAnsi="Times New Roman" w:cs="David"/>
      <w:noProof/>
      <w:sz w:val="24"/>
      <w:szCs w:val="24"/>
    </w:rPr>
  </w:style>
  <w:style w:type="paragraph" w:customStyle="1" w:styleId="E6E6A917CC5E4519A8F2E864C48E22F210">
    <w:name w:val="E6E6A917CC5E4519A8F2E864C48E22F210"/>
    <w:rsid w:val="00746837"/>
    <w:pPr>
      <w:bidi/>
      <w:spacing w:after="0" w:line="240" w:lineRule="auto"/>
    </w:pPr>
    <w:rPr>
      <w:rFonts w:ascii="Times New Roman" w:eastAsia="Times New Roman" w:hAnsi="Times New Roman" w:cs="David"/>
      <w:noProof/>
      <w:sz w:val="24"/>
      <w:szCs w:val="24"/>
    </w:rPr>
  </w:style>
  <w:style w:type="paragraph" w:customStyle="1" w:styleId="9DC4FF55E52B4E209349FC40470DD41810">
    <w:name w:val="9DC4FF55E52B4E209349FC40470DD41810"/>
    <w:rsid w:val="00746837"/>
    <w:pPr>
      <w:bidi/>
      <w:spacing w:after="0" w:line="240" w:lineRule="auto"/>
    </w:pPr>
    <w:rPr>
      <w:rFonts w:ascii="Times New Roman" w:eastAsia="Times New Roman" w:hAnsi="Times New Roman" w:cs="David"/>
      <w:noProof/>
      <w:sz w:val="24"/>
      <w:szCs w:val="24"/>
    </w:rPr>
  </w:style>
  <w:style w:type="paragraph" w:customStyle="1" w:styleId="112E7BE5CCF64A68A3D497F283A4D69510">
    <w:name w:val="112E7BE5CCF64A68A3D497F283A4D69510"/>
    <w:rsid w:val="00746837"/>
    <w:pPr>
      <w:bidi/>
      <w:spacing w:after="0" w:line="240" w:lineRule="auto"/>
    </w:pPr>
    <w:rPr>
      <w:rFonts w:ascii="Times New Roman" w:eastAsia="Times New Roman" w:hAnsi="Times New Roman" w:cs="David"/>
      <w:noProof/>
      <w:sz w:val="24"/>
      <w:szCs w:val="24"/>
    </w:rPr>
  </w:style>
  <w:style w:type="paragraph" w:customStyle="1" w:styleId="ECC435E5782A4F3FB39457279E24BE888">
    <w:name w:val="ECC435E5782A4F3FB39457279E24BE888"/>
    <w:rsid w:val="00746837"/>
    <w:pPr>
      <w:bidi/>
      <w:spacing w:after="0" w:line="240" w:lineRule="auto"/>
    </w:pPr>
    <w:rPr>
      <w:rFonts w:ascii="Times New Roman" w:eastAsia="Times New Roman" w:hAnsi="Times New Roman" w:cs="David"/>
      <w:noProof/>
      <w:sz w:val="24"/>
      <w:szCs w:val="24"/>
    </w:rPr>
  </w:style>
  <w:style w:type="paragraph" w:customStyle="1" w:styleId="E460D38E05664FF79D4EFF282EF8EC9922">
    <w:name w:val="E460D38E05664FF79D4EFF282EF8EC9922"/>
    <w:rsid w:val="00746837"/>
    <w:pPr>
      <w:bidi/>
      <w:spacing w:after="0" w:line="240" w:lineRule="auto"/>
    </w:pPr>
    <w:rPr>
      <w:rFonts w:ascii="Times New Roman" w:eastAsia="Times New Roman" w:hAnsi="Times New Roman" w:cs="David"/>
      <w:noProof/>
      <w:sz w:val="24"/>
      <w:szCs w:val="24"/>
    </w:rPr>
  </w:style>
  <w:style w:type="paragraph" w:customStyle="1" w:styleId="D290653DA13E4E738B7E725F79D7332915">
    <w:name w:val="D290653DA13E4E738B7E725F79D7332915"/>
    <w:rsid w:val="00746837"/>
    <w:pPr>
      <w:bidi/>
      <w:spacing w:after="0" w:line="240" w:lineRule="auto"/>
    </w:pPr>
    <w:rPr>
      <w:rFonts w:ascii="Times New Roman" w:eastAsia="Times New Roman" w:hAnsi="Times New Roman" w:cs="David"/>
      <w:noProof/>
      <w:sz w:val="24"/>
      <w:szCs w:val="24"/>
    </w:rPr>
  </w:style>
  <w:style w:type="paragraph" w:customStyle="1" w:styleId="05E7DE95815641A5862D6440CD534EB05">
    <w:name w:val="05E7DE95815641A5862D6440CD534EB05"/>
    <w:rsid w:val="00B45677"/>
    <w:pPr>
      <w:bidi/>
      <w:spacing w:after="0" w:line="240" w:lineRule="auto"/>
    </w:pPr>
    <w:rPr>
      <w:rFonts w:ascii="Times New Roman" w:eastAsia="Times New Roman" w:hAnsi="Times New Roman" w:cs="David"/>
      <w:noProof/>
      <w:sz w:val="24"/>
      <w:szCs w:val="24"/>
    </w:rPr>
  </w:style>
  <w:style w:type="paragraph" w:customStyle="1" w:styleId="CDA250771D1A45329B0F0271A03838785">
    <w:name w:val="CDA250771D1A45329B0F0271A03838785"/>
    <w:rsid w:val="00B45677"/>
    <w:pPr>
      <w:bidi/>
      <w:spacing w:after="0" w:line="240" w:lineRule="auto"/>
    </w:pPr>
    <w:rPr>
      <w:rFonts w:ascii="Times New Roman" w:eastAsia="Times New Roman" w:hAnsi="Times New Roman" w:cs="David"/>
      <w:noProof/>
      <w:sz w:val="24"/>
      <w:szCs w:val="24"/>
    </w:rPr>
  </w:style>
  <w:style w:type="paragraph" w:customStyle="1" w:styleId="BAA7C8D270FD4AD58EEC53F0343E378A5">
    <w:name w:val="BAA7C8D270FD4AD58EEC53F0343E378A5"/>
    <w:rsid w:val="00B45677"/>
    <w:pPr>
      <w:bidi/>
      <w:spacing w:after="0" w:line="240" w:lineRule="auto"/>
    </w:pPr>
    <w:rPr>
      <w:rFonts w:ascii="Times New Roman" w:eastAsia="Times New Roman" w:hAnsi="Times New Roman" w:cs="David"/>
      <w:noProof/>
      <w:sz w:val="24"/>
      <w:szCs w:val="24"/>
    </w:rPr>
  </w:style>
  <w:style w:type="paragraph" w:customStyle="1" w:styleId="29BBD408062D41728D690A1D9BD5B6025">
    <w:name w:val="29BBD408062D41728D690A1D9BD5B6025"/>
    <w:rsid w:val="00B45677"/>
    <w:pPr>
      <w:bidi/>
      <w:spacing w:after="0" w:line="240" w:lineRule="auto"/>
    </w:pPr>
    <w:rPr>
      <w:rFonts w:ascii="Times New Roman" w:eastAsia="Times New Roman" w:hAnsi="Times New Roman" w:cs="David"/>
      <w:noProof/>
      <w:sz w:val="24"/>
      <w:szCs w:val="24"/>
    </w:rPr>
  </w:style>
  <w:style w:type="paragraph" w:customStyle="1" w:styleId="4BF33E1147BC426FAB8DAED3C8F447A21">
    <w:name w:val="4BF33E1147BC426FAB8DAED3C8F447A21"/>
    <w:rsid w:val="00B45677"/>
    <w:pPr>
      <w:bidi/>
      <w:spacing w:after="0" w:line="240" w:lineRule="auto"/>
    </w:pPr>
    <w:rPr>
      <w:rFonts w:ascii="Times New Roman" w:eastAsia="Times New Roman" w:hAnsi="Times New Roman" w:cs="David"/>
      <w:noProof/>
      <w:sz w:val="24"/>
      <w:szCs w:val="24"/>
    </w:rPr>
  </w:style>
  <w:style w:type="paragraph" w:customStyle="1" w:styleId="D33668F5E1424FFE90641F85E0C45E201">
    <w:name w:val="D33668F5E1424FFE90641F85E0C45E201"/>
    <w:rsid w:val="00B45677"/>
    <w:pPr>
      <w:bidi/>
      <w:spacing w:after="0" w:line="240" w:lineRule="auto"/>
    </w:pPr>
    <w:rPr>
      <w:rFonts w:ascii="Times New Roman" w:eastAsia="Times New Roman" w:hAnsi="Times New Roman" w:cs="David"/>
      <w:noProof/>
      <w:sz w:val="24"/>
      <w:szCs w:val="24"/>
    </w:rPr>
  </w:style>
  <w:style w:type="paragraph" w:customStyle="1" w:styleId="E6E6A917CC5E4519A8F2E864C48E22F211">
    <w:name w:val="E6E6A917CC5E4519A8F2E864C48E22F211"/>
    <w:rsid w:val="00B45677"/>
    <w:pPr>
      <w:bidi/>
      <w:spacing w:after="0" w:line="240" w:lineRule="auto"/>
    </w:pPr>
    <w:rPr>
      <w:rFonts w:ascii="Times New Roman" w:eastAsia="Times New Roman" w:hAnsi="Times New Roman" w:cs="David"/>
      <w:noProof/>
      <w:sz w:val="24"/>
      <w:szCs w:val="24"/>
    </w:rPr>
  </w:style>
  <w:style w:type="paragraph" w:customStyle="1" w:styleId="9DC4FF55E52B4E209349FC40470DD41811">
    <w:name w:val="9DC4FF55E52B4E209349FC40470DD41811"/>
    <w:rsid w:val="00B45677"/>
    <w:pPr>
      <w:bidi/>
      <w:spacing w:after="0" w:line="240" w:lineRule="auto"/>
    </w:pPr>
    <w:rPr>
      <w:rFonts w:ascii="Times New Roman" w:eastAsia="Times New Roman" w:hAnsi="Times New Roman" w:cs="David"/>
      <w:noProof/>
      <w:sz w:val="24"/>
      <w:szCs w:val="24"/>
    </w:rPr>
  </w:style>
  <w:style w:type="paragraph" w:customStyle="1" w:styleId="112E7BE5CCF64A68A3D497F283A4D69511">
    <w:name w:val="112E7BE5CCF64A68A3D497F283A4D69511"/>
    <w:rsid w:val="00B45677"/>
    <w:pPr>
      <w:bidi/>
      <w:spacing w:after="0" w:line="240" w:lineRule="auto"/>
    </w:pPr>
    <w:rPr>
      <w:rFonts w:ascii="Times New Roman" w:eastAsia="Times New Roman" w:hAnsi="Times New Roman" w:cs="David"/>
      <w:noProof/>
      <w:sz w:val="24"/>
      <w:szCs w:val="24"/>
    </w:rPr>
  </w:style>
  <w:style w:type="paragraph" w:customStyle="1" w:styleId="ECC435E5782A4F3FB39457279E24BE889">
    <w:name w:val="ECC435E5782A4F3FB39457279E24BE889"/>
    <w:rsid w:val="00B45677"/>
    <w:pPr>
      <w:bidi/>
      <w:spacing w:after="0" w:line="240" w:lineRule="auto"/>
    </w:pPr>
    <w:rPr>
      <w:rFonts w:ascii="Times New Roman" w:eastAsia="Times New Roman" w:hAnsi="Times New Roman" w:cs="David"/>
      <w:noProof/>
      <w:sz w:val="24"/>
      <w:szCs w:val="24"/>
    </w:rPr>
  </w:style>
  <w:style w:type="paragraph" w:customStyle="1" w:styleId="E460D38E05664FF79D4EFF282EF8EC9923">
    <w:name w:val="E460D38E05664FF79D4EFF282EF8EC9923"/>
    <w:rsid w:val="00B45677"/>
    <w:pPr>
      <w:bidi/>
      <w:spacing w:after="0" w:line="240" w:lineRule="auto"/>
    </w:pPr>
    <w:rPr>
      <w:rFonts w:ascii="Times New Roman" w:eastAsia="Times New Roman" w:hAnsi="Times New Roman" w:cs="David"/>
      <w:noProof/>
      <w:sz w:val="24"/>
      <w:szCs w:val="24"/>
    </w:rPr>
  </w:style>
  <w:style w:type="paragraph" w:customStyle="1" w:styleId="D290653DA13E4E738B7E725F79D7332916">
    <w:name w:val="D290653DA13E4E738B7E725F79D7332916"/>
    <w:rsid w:val="00B45677"/>
    <w:pPr>
      <w:bidi/>
      <w:spacing w:after="0" w:line="240" w:lineRule="auto"/>
    </w:pPr>
    <w:rPr>
      <w:rFonts w:ascii="Times New Roman" w:eastAsia="Times New Roman" w:hAnsi="Times New Roman" w:cs="David"/>
      <w:noProof/>
      <w:sz w:val="24"/>
      <w:szCs w:val="24"/>
    </w:rPr>
  </w:style>
  <w:style w:type="paragraph" w:customStyle="1" w:styleId="05E7DE95815641A5862D6440CD534EB06">
    <w:name w:val="05E7DE95815641A5862D6440CD534EB06"/>
    <w:rsid w:val="00405FEA"/>
    <w:pPr>
      <w:bidi/>
      <w:spacing w:after="0" w:line="240" w:lineRule="auto"/>
    </w:pPr>
    <w:rPr>
      <w:rFonts w:ascii="Times New Roman" w:eastAsia="Times New Roman" w:hAnsi="Times New Roman" w:cs="David"/>
      <w:noProof/>
      <w:sz w:val="24"/>
      <w:szCs w:val="24"/>
    </w:rPr>
  </w:style>
  <w:style w:type="paragraph" w:customStyle="1" w:styleId="CDA250771D1A45329B0F0271A03838786">
    <w:name w:val="CDA250771D1A45329B0F0271A03838786"/>
    <w:rsid w:val="00405FEA"/>
    <w:pPr>
      <w:bidi/>
      <w:spacing w:after="0" w:line="240" w:lineRule="auto"/>
    </w:pPr>
    <w:rPr>
      <w:rFonts w:ascii="Times New Roman" w:eastAsia="Times New Roman" w:hAnsi="Times New Roman" w:cs="David"/>
      <w:noProof/>
      <w:sz w:val="24"/>
      <w:szCs w:val="24"/>
    </w:rPr>
  </w:style>
  <w:style w:type="paragraph" w:customStyle="1" w:styleId="BAA7C8D270FD4AD58EEC53F0343E378A6">
    <w:name w:val="BAA7C8D270FD4AD58EEC53F0343E378A6"/>
    <w:rsid w:val="00405FEA"/>
    <w:pPr>
      <w:bidi/>
      <w:spacing w:after="0" w:line="240" w:lineRule="auto"/>
    </w:pPr>
    <w:rPr>
      <w:rFonts w:ascii="Times New Roman" w:eastAsia="Times New Roman" w:hAnsi="Times New Roman" w:cs="David"/>
      <w:noProof/>
      <w:sz w:val="24"/>
      <w:szCs w:val="24"/>
    </w:rPr>
  </w:style>
  <w:style w:type="paragraph" w:customStyle="1" w:styleId="29BBD408062D41728D690A1D9BD5B6026">
    <w:name w:val="29BBD408062D41728D690A1D9BD5B6026"/>
    <w:rsid w:val="00405FEA"/>
    <w:pPr>
      <w:bidi/>
      <w:spacing w:after="0" w:line="240" w:lineRule="auto"/>
    </w:pPr>
    <w:rPr>
      <w:rFonts w:ascii="Times New Roman" w:eastAsia="Times New Roman" w:hAnsi="Times New Roman" w:cs="David"/>
      <w:noProof/>
      <w:sz w:val="24"/>
      <w:szCs w:val="24"/>
    </w:rPr>
  </w:style>
  <w:style w:type="paragraph" w:customStyle="1" w:styleId="4BF33E1147BC426FAB8DAED3C8F447A22">
    <w:name w:val="4BF33E1147BC426FAB8DAED3C8F447A22"/>
    <w:rsid w:val="00405FEA"/>
    <w:pPr>
      <w:bidi/>
      <w:spacing w:after="0" w:line="240" w:lineRule="auto"/>
    </w:pPr>
    <w:rPr>
      <w:rFonts w:ascii="Times New Roman" w:eastAsia="Times New Roman" w:hAnsi="Times New Roman" w:cs="David"/>
      <w:noProof/>
      <w:sz w:val="24"/>
      <w:szCs w:val="24"/>
    </w:rPr>
  </w:style>
  <w:style w:type="paragraph" w:customStyle="1" w:styleId="D33668F5E1424FFE90641F85E0C45E202">
    <w:name w:val="D33668F5E1424FFE90641F85E0C45E202"/>
    <w:rsid w:val="00405FEA"/>
    <w:pPr>
      <w:bidi/>
      <w:spacing w:after="0" w:line="240" w:lineRule="auto"/>
    </w:pPr>
    <w:rPr>
      <w:rFonts w:ascii="Times New Roman" w:eastAsia="Times New Roman" w:hAnsi="Times New Roman" w:cs="David"/>
      <w:noProof/>
      <w:sz w:val="24"/>
      <w:szCs w:val="24"/>
    </w:rPr>
  </w:style>
  <w:style w:type="paragraph" w:customStyle="1" w:styleId="E6E6A917CC5E4519A8F2E864C48E22F212">
    <w:name w:val="E6E6A917CC5E4519A8F2E864C48E22F212"/>
    <w:rsid w:val="00405FEA"/>
    <w:pPr>
      <w:bidi/>
      <w:spacing w:after="0" w:line="240" w:lineRule="auto"/>
    </w:pPr>
    <w:rPr>
      <w:rFonts w:ascii="Times New Roman" w:eastAsia="Times New Roman" w:hAnsi="Times New Roman" w:cs="David"/>
      <w:noProof/>
      <w:sz w:val="24"/>
      <w:szCs w:val="24"/>
    </w:rPr>
  </w:style>
  <w:style w:type="paragraph" w:customStyle="1" w:styleId="9DC4FF55E52B4E209349FC40470DD41812">
    <w:name w:val="9DC4FF55E52B4E209349FC40470DD41812"/>
    <w:rsid w:val="00405FEA"/>
    <w:pPr>
      <w:bidi/>
      <w:spacing w:after="0" w:line="240" w:lineRule="auto"/>
    </w:pPr>
    <w:rPr>
      <w:rFonts w:ascii="Times New Roman" w:eastAsia="Times New Roman" w:hAnsi="Times New Roman" w:cs="David"/>
      <w:noProof/>
      <w:sz w:val="24"/>
      <w:szCs w:val="24"/>
    </w:rPr>
  </w:style>
  <w:style w:type="paragraph" w:customStyle="1" w:styleId="112E7BE5CCF64A68A3D497F283A4D69512">
    <w:name w:val="112E7BE5CCF64A68A3D497F283A4D69512"/>
    <w:rsid w:val="00405FEA"/>
    <w:pPr>
      <w:bidi/>
      <w:spacing w:after="0" w:line="240" w:lineRule="auto"/>
    </w:pPr>
    <w:rPr>
      <w:rFonts w:ascii="Times New Roman" w:eastAsia="Times New Roman" w:hAnsi="Times New Roman" w:cs="David"/>
      <w:noProof/>
      <w:sz w:val="24"/>
      <w:szCs w:val="24"/>
    </w:rPr>
  </w:style>
  <w:style w:type="paragraph" w:customStyle="1" w:styleId="ECC435E5782A4F3FB39457279E24BE8810">
    <w:name w:val="ECC435E5782A4F3FB39457279E24BE8810"/>
    <w:rsid w:val="00405FEA"/>
    <w:pPr>
      <w:bidi/>
      <w:spacing w:after="0" w:line="240" w:lineRule="auto"/>
    </w:pPr>
    <w:rPr>
      <w:rFonts w:ascii="Times New Roman" w:eastAsia="Times New Roman" w:hAnsi="Times New Roman" w:cs="David"/>
      <w:noProof/>
      <w:sz w:val="24"/>
      <w:szCs w:val="24"/>
    </w:rPr>
  </w:style>
  <w:style w:type="paragraph" w:customStyle="1" w:styleId="E460D38E05664FF79D4EFF282EF8EC9924">
    <w:name w:val="E460D38E05664FF79D4EFF282EF8EC9924"/>
    <w:rsid w:val="00405FEA"/>
    <w:pPr>
      <w:bidi/>
      <w:spacing w:after="0" w:line="240" w:lineRule="auto"/>
    </w:pPr>
    <w:rPr>
      <w:rFonts w:ascii="Times New Roman" w:eastAsia="Times New Roman" w:hAnsi="Times New Roman" w:cs="David"/>
      <w:noProof/>
      <w:sz w:val="24"/>
      <w:szCs w:val="24"/>
    </w:rPr>
  </w:style>
  <w:style w:type="paragraph" w:customStyle="1" w:styleId="D290653DA13E4E738B7E725F79D7332917">
    <w:name w:val="D290653DA13E4E738B7E725F79D7332917"/>
    <w:rsid w:val="00405FEA"/>
    <w:pPr>
      <w:bidi/>
      <w:spacing w:after="0" w:line="240" w:lineRule="auto"/>
    </w:pPr>
    <w:rPr>
      <w:rFonts w:ascii="Times New Roman" w:eastAsia="Times New Roman" w:hAnsi="Times New Roman" w:cs="David"/>
      <w:noProof/>
      <w:sz w:val="24"/>
      <w:szCs w:val="24"/>
    </w:rPr>
  </w:style>
  <w:style w:type="paragraph" w:customStyle="1" w:styleId="05E7DE95815641A5862D6440CD534EB07">
    <w:name w:val="05E7DE95815641A5862D6440CD534EB07"/>
    <w:rsid w:val="002A56A9"/>
    <w:pPr>
      <w:bidi/>
      <w:spacing w:after="0" w:line="240" w:lineRule="auto"/>
    </w:pPr>
    <w:rPr>
      <w:rFonts w:ascii="Times New Roman" w:eastAsia="Times New Roman" w:hAnsi="Times New Roman" w:cs="David"/>
      <w:noProof/>
      <w:sz w:val="24"/>
      <w:szCs w:val="24"/>
    </w:rPr>
  </w:style>
  <w:style w:type="paragraph" w:customStyle="1" w:styleId="CDA250771D1A45329B0F0271A03838787">
    <w:name w:val="CDA250771D1A45329B0F0271A03838787"/>
    <w:rsid w:val="002A56A9"/>
    <w:pPr>
      <w:bidi/>
      <w:spacing w:after="0" w:line="240" w:lineRule="auto"/>
    </w:pPr>
    <w:rPr>
      <w:rFonts w:ascii="Times New Roman" w:eastAsia="Times New Roman" w:hAnsi="Times New Roman" w:cs="David"/>
      <w:noProof/>
      <w:sz w:val="24"/>
      <w:szCs w:val="24"/>
    </w:rPr>
  </w:style>
  <w:style w:type="paragraph" w:customStyle="1" w:styleId="BAA7C8D270FD4AD58EEC53F0343E378A7">
    <w:name w:val="BAA7C8D270FD4AD58EEC53F0343E378A7"/>
    <w:rsid w:val="002A56A9"/>
    <w:pPr>
      <w:bidi/>
      <w:spacing w:after="0" w:line="240" w:lineRule="auto"/>
    </w:pPr>
    <w:rPr>
      <w:rFonts w:ascii="Times New Roman" w:eastAsia="Times New Roman" w:hAnsi="Times New Roman" w:cs="David"/>
      <w:noProof/>
      <w:sz w:val="24"/>
      <w:szCs w:val="24"/>
    </w:rPr>
  </w:style>
  <w:style w:type="paragraph" w:customStyle="1" w:styleId="29BBD408062D41728D690A1D9BD5B6027">
    <w:name w:val="29BBD408062D41728D690A1D9BD5B6027"/>
    <w:rsid w:val="002A56A9"/>
    <w:pPr>
      <w:bidi/>
      <w:spacing w:after="0" w:line="240" w:lineRule="auto"/>
    </w:pPr>
    <w:rPr>
      <w:rFonts w:ascii="Times New Roman" w:eastAsia="Times New Roman" w:hAnsi="Times New Roman" w:cs="David"/>
      <w:noProof/>
      <w:sz w:val="24"/>
      <w:szCs w:val="24"/>
    </w:rPr>
  </w:style>
  <w:style w:type="paragraph" w:customStyle="1" w:styleId="4BF33E1147BC426FAB8DAED3C8F447A23">
    <w:name w:val="4BF33E1147BC426FAB8DAED3C8F447A23"/>
    <w:rsid w:val="002A56A9"/>
    <w:pPr>
      <w:bidi/>
      <w:spacing w:after="0" w:line="240" w:lineRule="auto"/>
    </w:pPr>
    <w:rPr>
      <w:rFonts w:ascii="Times New Roman" w:eastAsia="Times New Roman" w:hAnsi="Times New Roman" w:cs="David"/>
      <w:noProof/>
      <w:sz w:val="24"/>
      <w:szCs w:val="24"/>
    </w:rPr>
  </w:style>
  <w:style w:type="paragraph" w:customStyle="1" w:styleId="D33668F5E1424FFE90641F85E0C45E203">
    <w:name w:val="D33668F5E1424FFE90641F85E0C45E203"/>
    <w:rsid w:val="002A56A9"/>
    <w:pPr>
      <w:bidi/>
      <w:spacing w:after="0" w:line="240" w:lineRule="auto"/>
    </w:pPr>
    <w:rPr>
      <w:rFonts w:ascii="Times New Roman" w:eastAsia="Times New Roman" w:hAnsi="Times New Roman" w:cs="David"/>
      <w:noProof/>
      <w:sz w:val="24"/>
      <w:szCs w:val="24"/>
    </w:rPr>
  </w:style>
  <w:style w:type="paragraph" w:customStyle="1" w:styleId="E6E6A917CC5E4519A8F2E864C48E22F213">
    <w:name w:val="E6E6A917CC5E4519A8F2E864C48E22F213"/>
    <w:rsid w:val="002A56A9"/>
    <w:pPr>
      <w:bidi/>
      <w:spacing w:after="0" w:line="240" w:lineRule="auto"/>
    </w:pPr>
    <w:rPr>
      <w:rFonts w:ascii="Times New Roman" w:eastAsia="Times New Roman" w:hAnsi="Times New Roman" w:cs="David"/>
      <w:noProof/>
      <w:sz w:val="24"/>
      <w:szCs w:val="24"/>
    </w:rPr>
  </w:style>
  <w:style w:type="paragraph" w:customStyle="1" w:styleId="9DC4FF55E52B4E209349FC40470DD41813">
    <w:name w:val="9DC4FF55E52B4E209349FC40470DD41813"/>
    <w:rsid w:val="002A56A9"/>
    <w:pPr>
      <w:bidi/>
      <w:spacing w:after="0" w:line="240" w:lineRule="auto"/>
    </w:pPr>
    <w:rPr>
      <w:rFonts w:ascii="Times New Roman" w:eastAsia="Times New Roman" w:hAnsi="Times New Roman" w:cs="David"/>
      <w:noProof/>
      <w:sz w:val="24"/>
      <w:szCs w:val="24"/>
    </w:rPr>
  </w:style>
  <w:style w:type="paragraph" w:customStyle="1" w:styleId="112E7BE5CCF64A68A3D497F283A4D69513">
    <w:name w:val="112E7BE5CCF64A68A3D497F283A4D69513"/>
    <w:rsid w:val="002A56A9"/>
    <w:pPr>
      <w:bidi/>
      <w:spacing w:after="0" w:line="240" w:lineRule="auto"/>
    </w:pPr>
    <w:rPr>
      <w:rFonts w:ascii="Times New Roman" w:eastAsia="Times New Roman" w:hAnsi="Times New Roman" w:cs="David"/>
      <w:noProof/>
      <w:sz w:val="24"/>
      <w:szCs w:val="24"/>
    </w:rPr>
  </w:style>
  <w:style w:type="paragraph" w:customStyle="1" w:styleId="ECC435E5782A4F3FB39457279E24BE8811">
    <w:name w:val="ECC435E5782A4F3FB39457279E24BE8811"/>
    <w:rsid w:val="002A56A9"/>
    <w:pPr>
      <w:bidi/>
      <w:spacing w:after="0" w:line="240" w:lineRule="auto"/>
    </w:pPr>
    <w:rPr>
      <w:rFonts w:ascii="Times New Roman" w:eastAsia="Times New Roman" w:hAnsi="Times New Roman" w:cs="David"/>
      <w:noProof/>
      <w:sz w:val="24"/>
      <w:szCs w:val="24"/>
    </w:rPr>
  </w:style>
  <w:style w:type="paragraph" w:customStyle="1" w:styleId="E460D38E05664FF79D4EFF282EF8EC9925">
    <w:name w:val="E460D38E05664FF79D4EFF282EF8EC9925"/>
    <w:rsid w:val="002A56A9"/>
    <w:pPr>
      <w:bidi/>
      <w:spacing w:after="0" w:line="240" w:lineRule="auto"/>
    </w:pPr>
    <w:rPr>
      <w:rFonts w:ascii="Times New Roman" w:eastAsia="Times New Roman" w:hAnsi="Times New Roman" w:cs="David"/>
      <w:noProof/>
      <w:sz w:val="24"/>
      <w:szCs w:val="24"/>
    </w:rPr>
  </w:style>
  <w:style w:type="paragraph" w:customStyle="1" w:styleId="D290653DA13E4E738B7E725F79D7332918">
    <w:name w:val="D290653DA13E4E738B7E725F79D7332918"/>
    <w:rsid w:val="002A56A9"/>
    <w:pPr>
      <w:bidi/>
      <w:spacing w:after="0" w:line="240" w:lineRule="auto"/>
    </w:pPr>
    <w:rPr>
      <w:rFonts w:ascii="Times New Roman" w:eastAsia="Times New Roman" w:hAnsi="Times New Roman" w:cs="David"/>
      <w:noProof/>
      <w:sz w:val="24"/>
      <w:szCs w:val="24"/>
    </w:rPr>
  </w:style>
  <w:style w:type="paragraph" w:customStyle="1" w:styleId="E460D38E05664FF79D4EFF282EF8EC9926">
    <w:name w:val="E460D38E05664FF79D4EFF282EF8EC9926"/>
    <w:rsid w:val="00C70435"/>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80221677</CaseID>
    <CaseJudicialPersonPresentationDS>
      <CaseJudicalPersonActive>
        <CaseID>80221677</CaseID>
        <JudicialPersonID>039599873@GOV.IL</JudicialPersonID>
        <JudicialPersonTypeID>1</JudicialPersonTypeID>
        <JudicialTypeID>1</JudicialTypeID>
        <IsChairman>false</IsChairman>
        <TreatmentStartDate>2024-07-01T09:28:58.107+03:00</TreatmentStartDate>
        <TreatmentFinishDate>9999-12-31T23:59:59.997+02:00</TreatmentFinishDate>
        <IdentificationCardNumber>039599873</IdentificationCardNumber>
        <DisplayName>הילה אוחיון גליקסמן</DisplayName>
        <JudicialTypeName>שופט</JudicialTypeName>
        <CaseJudicialGroupNumber>0</CaseJudicialGroupNumber>
        <FirstName>הילה</FirstName>
        <LastName>אוחיון גליקסמן</LastName>
        <JudicialPersonTitle>שופט</JudicialPersonTitle>
      </CaseJudicalPersonActive>
    </CaseJudicialPersonPresentationDS>
    <CasePartiesSelectionDS>
      <CaseParties>
        <PartyTypeName>בא כוח</PartyTypeName>
        <ProceedingType>כתב טענות עיקרי</ProceedingType>
        <PleaName>כתב תביעה</PleaName>
        <PartyBelonging> - </PartyBelonging>
        <RoleName>בא כוח תובעים</RoleName>
        <IsSubProceeding>FALSE</IsSubProceeding>
        <FullName>יפעת בן-אבי בראון</FullName>
        <FirstName>יפעת</FirstName>
        <LastName>בן-אבי בראון</LastName>
        <PartyPropertyName/>
        <AuthenticationTypeAndNumber>מ.ר. 49953</AuthenticationTypeAndNumber>
        <RepresentatedOrRepresentativesNames>רויטל כוכבי</RepresentatedOrRepresentativesNames>
        <RepresentatedOrRepresentativesCount>1</RepresentatedOrRepresentativesCount>
        <InvitedBy/>
        <CaseID>80221677</CaseID>
        <CaseJudicialPersonPresentationDS>
          <CaseJudicalPersonActive>
            <CaseID>80221677</CaseID>
            <JudicialPersonID>039599873@GOV.IL</JudicialPersonID>
            <JudicialPersonTypeID>1</JudicialPersonTypeID>
            <JudicialTypeID>1</JudicialTypeID>
            <IsChairman>false</IsChairman>
            <TreatmentStartDate>2024-07-01T09:28:58.107+03:00</TreatmentStartDate>
            <TreatmentFinishDate>9999-12-31T23:59:59.997+02:00</TreatmentFinishDate>
            <IdentificationCardNumber>039599873</IdentificationCardNumber>
            <DisplayName>הילה אוחיון גליקסמן</DisplayName>
            <JudicialTypeName>שופט</JudicialTypeName>
            <CaseJudicialGroupNumber>0</CaseJudicialGroupNumber>
            <FirstName>הילה</FirstName>
            <LastName>אוחיון גליקסמן</LastName>
            <JudicialPersonTitle>שופט</JudicialPersonTitle>
          </CaseJudicalPersonActive>
        </CaseJudicialPersonPresentationDS>
        <CasePartyID>272645412</CasePartyID>
        <PartyTypeID>2</PartyTypeID>
        <ActivityStatusID>1</ActivityStatusID>
        <PartyAliasID>20</PartyAliasID>
        <PartyAliasName>בא כוח תובעים</PartyAliasName>
        <LegalEntityID>7538994</LegalEntityID>
        <CaseLegalEntityID>129630696</CaseLegalEntityID>
        <AuthenticationTypeID>4</AuthenticationTypeID>
        <AuthenticationTypeName>מ.ר.</AuthenticationTypeName>
        <LegalEntityNumber>49953</LegalEntityNumber>
        <IsMainPartyType>true</IsMainPartyType>
        <CaseDisplayIdentifier>12436-05-23</CaseDisplayIdentifier>
        <CaseTypeID>10262</CaseTypeID>
        <CaseTypeName>תביעה לאחר הסדר התדיינויות במשפחה (תלה"מ)</CaseTypeName>
        <CaseName>כוכבי נ' כוכבי ואח'</CaseName>
        <FullAddress>הראשונים 26 אשדוד ת.ד 895</FullAddress>
        <EmailAddress>yifat.bab.law@gmail.com</EmailAddress>
        <MotionID>0</MotionID>
        <CasePleaID>0</CasePleaID>
        <LinkedCaseID>0</LinkedCaseID>
        <PartyID>1</PartyID>
        <CasePartyCategoryID>2</CasePartyCategoryID>
        <LegalEntityAddressID>73010731</LegalEntityAddressID>
        <LegalEntityEmailAddressID>68061652</LegalEntityEmailAddressID>
        <PleaTypeID>4</PleaTypeID>
        <LawyerOfficeName>משרד עו"ד יפעת בן-אבי בראון</LawyerOfficeName>
        <LawyerOfficeID>7538995</LawyerOfficeID>
        <GroupPartyAlias/>
        <IsConverted>false</IsConverted>
        <LegalEntityNameID>7194966</LegalEntityNameID>
        <RepresentatedNamesOfAssistant/>
        <LegalEntityTypeID>4</LegalEntityTypeID>
        <IsVerdictExists>false</IsVerdictExists>
        <IsAsirAzir>false</IsAsirAzir>
        <MainAndSecSpec/>
        <IsPublicationProhibited>false</IsPublicationProhibited>
        <PublicationProhibitedFullName>יפעת בן-אבי בראון</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מרדכי האן מרקוביץ</FullName>
        <FirstName>מרדכי</FirstName>
        <LastName>האן מרקוביץ</LastName>
        <PartyPropertyName/>
        <AuthenticationTypeAndNumber>מ.ר. 12970</AuthenticationTypeAndNumber>
        <RepresentatedOrRepresentativesNames>עו"ד חנן עזרן</RepresentatedOrRepresentativesNames>
        <RepresentatedOrRepresentativesCount>1</RepresentatedOrRepresentativesCount>
        <InvitedBy/>
        <CaseID>80221677</CaseID>
        <CaseJudicialPersonPresentationDS>
          <CaseJudicalPersonActive>
            <CaseID>80221677</CaseID>
            <JudicialPersonID>039599873@GOV.IL</JudicialPersonID>
            <JudicialPersonTypeID>1</JudicialPersonTypeID>
            <JudicialTypeID>1</JudicialTypeID>
            <IsChairman>false</IsChairman>
            <TreatmentStartDate>2024-07-01T09:28:58.107+03:00</TreatmentStartDate>
            <TreatmentFinishDate>9999-12-31T23:59:59.997+02:00</TreatmentFinishDate>
            <IdentificationCardNumber>039599873</IdentificationCardNumber>
            <DisplayName>הילה אוחיון גליקסמן</DisplayName>
            <JudicialTypeName>שופט</JudicialTypeName>
            <CaseJudicialGroupNumber>0</CaseJudicialGroupNumber>
            <FirstName>הילה</FirstName>
            <LastName>אוחיון גליקסמן</LastName>
            <JudicialPersonTitle>שופט</JudicialPersonTitle>
          </CaseJudicalPersonActive>
        </CaseJudicialPersonPresentationDS>
        <CasePartyID>264421195</CasePartyID>
        <PartyTypeID>2</PartyTypeID>
        <ActivityStatusID>1</ActivityStatusID>
        <PartyAliasID>21</PartyAliasID>
        <PartyAliasName>בא כוח נתבעים</PartyAliasName>
        <LegalEntityID>381244</LegalEntityID>
        <CaseLegalEntityID>127199246</CaseLegalEntityID>
        <AuthenticationTypeID>4</AuthenticationTypeID>
        <AuthenticationTypeName>מ.ר.</AuthenticationTypeName>
        <LegalEntityNumber>12970</LegalEntityNumber>
        <IsMainPartyType>true</IsMainPartyType>
        <CaseDisplayIdentifier>12436-05-23</CaseDisplayIdentifier>
        <CaseTypeID>10262</CaseTypeID>
        <CaseTypeName>תביעה לאחר הסדר התדיינויות במשפחה (תלה"מ)</CaseTypeName>
        <CaseName>כוכבי נ' כוכבי ואח'</CaseName>
        <FullAddress>ויצמן 102 כפר סבא </FullAddress>
        <MotionID>0</MotionID>
        <CasePleaID>0</CasePleaID>
        <LinkedCaseID>0</LinkedCaseID>
        <PartyID>2</PartyID>
        <CasePartyCategoryID>2</CasePartyCategoryID>
        <LegalEntityAddressID>73914151</LegalEntityAddressID>
        <PleaTypeID>4</PleaTypeID>
        <LawyerOfficeName>גלר האן מרקוביץ ושות' - משרד עו"ד</LawyerOfficeName>
        <LawyerOfficeID>419053</LawyerOfficeID>
        <GroupPartyAlias/>
        <IsConverted>false</IsConverted>
        <LegalEntityNameID>2228</LegalEntityNameID>
        <RepresentatedNamesOfAssistant/>
        <LegalEntityTypeID>4</LegalEntityTypeID>
        <IsVerdictExists>false</IsVerdictExists>
        <IsAsirAzir>false</IsAsirAzir>
        <MainAndSecSpec/>
        <IsPublicationProhibited>false</IsPublicationProhibited>
        <PublicationProhibitedFullName>מרדכי האן מרקוביץ</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אירית גולי אליהשר</FullName>
        <FirstName>אירית גולי</FirstName>
        <LastName>אליהשר</LastName>
        <PartyPropertyName/>
        <AuthenticationTypeAndNumber>מ.ר. 53020</AuthenticationTypeAndNumber>
        <RepresentatedOrRepresentativesNames>רויטל כוכבי</RepresentatedOrRepresentativesNames>
        <RepresentatedOrRepresentativesCount>1</RepresentatedOrRepresentativesCount>
        <InvitedBy/>
        <CaseID>80221677</CaseID>
        <CaseJudicialPersonPresentationDS>
          <CaseJudicalPersonActive>
            <CaseID>80221677</CaseID>
            <JudicialPersonID>039599873@GOV.IL</JudicialPersonID>
            <JudicialPersonTypeID>1</JudicialPersonTypeID>
            <JudicialTypeID>1</JudicialTypeID>
            <IsChairman>false</IsChairman>
            <TreatmentStartDate>2024-07-01T09:28:58.107+03:00</TreatmentStartDate>
            <TreatmentFinishDate>9999-12-31T23:59:59.997+02:00</TreatmentFinishDate>
            <IdentificationCardNumber>039599873</IdentificationCardNumber>
            <DisplayName>הילה אוחיון גליקסמן</DisplayName>
            <JudicialTypeName>שופט</JudicialTypeName>
            <CaseJudicialGroupNumber>0</CaseJudicialGroupNumber>
            <FirstName>הילה</FirstName>
            <LastName>אוחיון גליקסמן</LastName>
            <JudicialPersonTitle>שופט</JudicialPersonTitle>
          </CaseJudicalPersonActive>
        </CaseJudicialPersonPresentationDS>
        <CasePartyID>255210947</CasePartyID>
        <PartyTypeID>2</PartyTypeID>
        <ActivityStatusID>1</ActivityStatusID>
        <PartyAliasID>20</PartyAliasID>
        <PartyAliasName>בא כוח תובעים</PartyAliasName>
        <OrdinalNumber>1</OrdinalNumber>
        <LegalEntityID>33128153</LegalEntityID>
        <CaseLegalEntityID>124204042</CaseLegalEntityID>
        <AuthenticationTypeID>4</AuthenticationTypeID>
        <AuthenticationTypeName>מ.ר.</AuthenticationTypeName>
        <LegalEntityNumber>53020</LegalEntityNumber>
        <IsMainPartyType>true</IsMainPartyType>
        <CaseDisplayIdentifier>12436-05-23</CaseDisplayIdentifier>
        <CaseTypeID>10262</CaseTypeID>
        <CaseTypeName>תביעה לאחר הסדר התדיינויות במשפחה (תלה"מ)</CaseTypeName>
        <CaseName>כוכבי נ' כוכבי ואח'</CaseName>
        <FullAddress>שד' פז 2/23 קריית גת בניין גילת קומה 2</FullAddress>
        <MotionID>0</MotionID>
        <CasePleaID>0</CasePleaID>
        <LinkedCaseID>0</LinkedCaseID>
        <PartyID>1</PartyID>
        <CasePartyCategoryID>2</CasePartyCategoryID>
        <LegalEntityAddressID>74545410</LegalEntityAddressID>
        <PleaTypeID>4</PleaTypeID>
        <LawyerOfficeName>משרד עו"ד אירית גולי אליהשר</LawyerOfficeName>
        <LawyerOfficeID>33128154</LawyerOfficeID>
        <GroupPartyAlias/>
        <IsConverted>false</IsConverted>
        <LegalEntityNameID>34918524</LegalEntityNameID>
        <RepresentatedNamesOfAssistant/>
        <LegalEntityTypeID>4</LegalEntityTypeID>
        <IsVerdictExists>false</IsVerdictExists>
        <IsAsirAzir>false</IsAsirAzir>
        <MainAndSecSpec/>
        <IsPublicationProhibited>false</IsPublicationProhibited>
        <PublicationProhibitedFullName>אירית גולי אליהשר</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רויטל כוכבי</FullName>
        <FirstName>רויטל</FirstName>
        <LastName>כוכבי</LastName>
        <PartyPropertyName/>
        <AuthenticationTypeAndNumber>ת"ז 029030319</AuthenticationTypeAndNumber>
        <RepresentatedOrRepresentativesNames>אירית גולי אליהשר, יפעת בן-אבי בראון</RepresentatedOrRepresentativesNames>
        <RepresentatedOrRepresentativesCount>2</RepresentatedOrRepresentativesCount>
        <InvitedBy/>
        <CaseID>80221677</CaseID>
        <CaseJudicialPersonPresentationDS>
          <CaseJudicalPersonActive>
            <CaseID>80221677</CaseID>
            <JudicialPersonID>039599873@GOV.IL</JudicialPersonID>
            <JudicialPersonTypeID>1</JudicialPersonTypeID>
            <JudicialTypeID>1</JudicialTypeID>
            <IsChairman>false</IsChairman>
            <TreatmentStartDate>2024-07-01T09:28:58.107+03:00</TreatmentStartDate>
            <TreatmentFinishDate>9999-12-31T23:59:59.997+02:00</TreatmentFinishDate>
            <IdentificationCardNumber>039599873</IdentificationCardNumber>
            <DisplayName>הילה אוחיון גליקסמן</DisplayName>
            <JudicialTypeName>שופט</JudicialTypeName>
            <CaseJudicialGroupNumber>0</CaseJudicialGroupNumber>
            <FirstName>הילה</FirstName>
            <LastName>אוחיון גליקסמן</LastName>
            <JudicialPersonTitle>שופט</JudicialPersonTitle>
          </CaseJudicalPersonActive>
        </CaseJudicialPersonPresentationDS>
        <CasePartyID>255210946</CasePartyID>
        <PartyTypeID>1</PartyTypeID>
        <ActivityStatusID>1</ActivityStatusID>
        <PartyAliasID>1</PartyAliasID>
        <PartyAliasName>תובע</PartyAliasName>
        <OrdinalNumber>1</OrdinalNumber>
        <LegalEntityID>34376517</LegalEntityID>
        <CaseLegalEntityID>124204041</CaseLegalEntityID>
        <AuthenticationTypeID>1</AuthenticationTypeID>
        <AuthenticationTypeName>ת"ז</AuthenticationTypeName>
        <LegalEntityNumber>029030319</LegalEntityNumber>
        <IsMainPartyType>true</IsMainPartyType>
        <CaseDisplayIdentifier>12436-05-23</CaseDisplayIdentifier>
        <CaseTypeID>10262</CaseTypeID>
        <CaseTypeName>תביעה לאחר הסדר התדיינויות במשפחה (תלה"מ)</CaseTypeName>
        <CaseName>כוכבי נ' כוכבי ואח'</CaseName>
        <FullAddress>שבט יששכר 1/21 אשדוד </FullAddress>
        <MotionID>0</MotionID>
        <CasePleaID>0</CasePleaID>
        <FatherName>יוסף</FatherName>
        <LinkedCaseID>0</LinkedCaseID>
        <PartyID>1</PartyID>
        <CasePartyCategoryID>2</CasePartyCategoryID>
        <LegalEntityAddressID>87868186</LegalEntityAddressID>
        <GrandfatherName/>
        <DrivingLicenseNumber>6355506</DrivingLicenseNumber>
        <PleaTypeID>4</PleaTypeID>
        <GroupPartyAlias>תובעים</GroupPartyAlias>
        <IsConverted>false</IsConverted>
        <LegalEntityRegisteredNameID>2258494</LegalEntityRegisteredNameID>
        <LegalEntityNameID>94806701</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רויטל כוכבי</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משה כוכבי</FullName>
        <FirstName>משה</FirstName>
        <LastName>כוכבי</LastName>
        <PartyPropertyName/>
        <AuthenticationTypeAndNumber>ת"ז 022477327</AuthenticationTypeAndNumber>
        <RepresentatedOrRepresentativesNames/>
        <RepresentatedOrRepresentativesCount>0</RepresentatedOrRepresentativesCount>
        <InvitedBy/>
        <CaseID>80221677</CaseID>
        <CaseJudicialPersonPresentationDS>
          <CaseJudicalPersonActive>
            <CaseID>80221677</CaseID>
            <JudicialPersonID>039599873@GOV.IL</JudicialPersonID>
            <JudicialPersonTypeID>1</JudicialPersonTypeID>
            <JudicialTypeID>1</JudicialTypeID>
            <IsChairman>false</IsChairman>
            <TreatmentStartDate>2024-07-01T09:28:58.107+03:00</TreatmentStartDate>
            <TreatmentFinishDate>9999-12-31T23:59:59.997+02:00</TreatmentFinishDate>
            <IdentificationCardNumber>039599873</IdentificationCardNumber>
            <DisplayName>הילה אוחיון גליקסמן</DisplayName>
            <JudicialTypeName>שופט</JudicialTypeName>
            <CaseJudicialGroupNumber>0</CaseJudicialGroupNumber>
            <FirstName>הילה</FirstName>
            <LastName>אוחיון גליקסמן</LastName>
            <JudicialPersonTitle>שופט</JudicialPersonTitle>
          </CaseJudicalPersonActive>
        </CaseJudicialPersonPresentationDS>
        <CasePartyID>255210948</CasePartyID>
        <PartyTypeID>1</PartyTypeID>
        <ActivityStatusID>1</ActivityStatusID>
        <PartyAliasID>2</PartyAliasID>
        <PartyAliasName>נתבע</PartyAliasName>
        <OrdinalNumber>1</OrdinalNumber>
        <LegalEntityID>34348132</LegalEntityID>
        <CaseLegalEntityID>124204043</CaseLegalEntityID>
        <AuthenticationTypeID>1</AuthenticationTypeID>
        <AuthenticationTypeName>ת"ז</AuthenticationTypeName>
        <LegalEntityNumber>022477327</LegalEntityNumber>
        <IsMainPartyType>true</IsMainPartyType>
        <CaseDisplayIdentifier>12436-05-23</CaseDisplayIdentifier>
        <CaseTypeID>10262</CaseTypeID>
        <CaseTypeName>תביעה לאחר הסדר התדיינויות במשפחה (תלה"מ)</CaseTypeName>
        <CaseName>כוכבי נ' כוכבי ואח'</CaseName>
        <FullAddress>אברהם עופר 1/17 אשדוד </FullAddress>
        <MotionID>0</MotionID>
        <CasePleaID>0</CasePleaID>
        <FatherName>דניאל</FatherName>
        <LinkedCaseID>0</LinkedCaseID>
        <PartyID>2</PartyID>
        <CasePartyCategoryID>2</CasePartyCategoryID>
        <LegalEntityAddressID>87868187</LegalEntityAddressID>
        <PleaTypeID>4</PleaTypeID>
        <GroupPartyAlias>נתבעים</GroupPartyAlias>
        <IsConverted>false</IsConverted>
        <LegalEntityRegisteredNameID>6381810</LegalEntityRegisteredNameID>
        <LegalEntityNameID>94806702</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משה כוכבי</PublicationProhibitedFullName>
      </CaseParties>
      <CaseParties>
        <PartyTypeName>צד</PartyTypeName>
        <ProceedingType>כתב טענות עיקרי</ProceedingType>
        <PleaName>כתב תביעה</PleaName>
        <PartyBelonging>צד ב'</PartyBelonging>
        <RoleName>נתבע 2</RoleName>
        <IsSubProceeding>FALSE</IsSubProceeding>
        <FullName>עו"ד חנן עזרן (נאמן)</FullName>
        <FirstName>עו"ד חנן</FirstName>
        <LastName>עזרן</LastName>
        <PartyPropertyID>15</PartyPropertyID>
        <PartyPropertyName/>
        <AuthenticationTypeAndNumber>ת"ז </AuthenticationTypeAndNumber>
        <RepresentatedOrRepresentativesNames>מרדכי האן מרקוביץ</RepresentatedOrRepresentativesNames>
        <RepresentatedOrRepresentativesCount>1</RepresentatedOrRepresentativesCount>
        <InvitedBy/>
        <CaseID>80221677</CaseID>
        <CaseJudicialPersonPresentationDS>
          <CaseJudicalPersonActive>
            <CaseID>80221677</CaseID>
            <JudicialPersonID>039599873@GOV.IL</JudicialPersonID>
            <JudicialPersonTypeID>1</JudicialPersonTypeID>
            <JudicialTypeID>1</JudicialTypeID>
            <IsChairman>false</IsChairman>
            <TreatmentStartDate>2024-07-01T09:28:58.107+03:00</TreatmentStartDate>
            <TreatmentFinishDate>9999-12-31T23:59:59.997+02:00</TreatmentFinishDate>
            <IdentificationCardNumber>039599873</IdentificationCardNumber>
            <DisplayName>הילה אוחיון גליקסמן</DisplayName>
            <JudicialTypeName>שופט</JudicialTypeName>
            <CaseJudicialGroupNumber>0</CaseJudicialGroupNumber>
            <FirstName>הילה</FirstName>
            <LastName>אוחיון גליקסמן</LastName>
            <JudicialPersonTitle>שופט</JudicialPersonTitle>
          </CaseJudicalPersonActive>
        </CaseJudicialPersonPresentationDS>
        <CasePartyID>264262790</CasePartyID>
        <PartyTypeID>1</PartyTypeID>
        <ActivityStatusID>1</ActivityStatusID>
        <PartyAliasID>2</PartyAliasID>
        <PartyAliasName>נתבע</PartyAliasName>
        <OrdinalNumber>2</OrdinalNumber>
        <LegalEntityID>81638655</LegalEntityID>
        <CaseLegalEntityID>127154772</CaseLegalEntityID>
        <AuthenticationTypeID>1</AuthenticationTypeID>
        <AuthenticationTypeName>ת"ז</AuthenticationTypeName>
        <IsMainPartyType>true</IsMainPartyType>
        <CaseDisplayIdentifier>12436-05-23</CaseDisplayIdentifier>
        <CaseTypeID>10262</CaseTypeID>
        <CaseTypeName>תביעה לאחר הסדר התדיינויות במשפחה (תלה"מ)</CaseTypeName>
        <CaseName>כוכבי נ' כוכבי ואח'</CaseName>
        <FullAddress/>
        <MotionID>0</MotionID>
        <CasePleaID>0</CasePleaID>
        <LinkedCaseID>0</LinkedCaseID>
        <PartyID>2</PartyID>
        <CasePartyCategoryID>2</CasePartyCategoryID>
        <PleaTypeID>4</PleaTypeID>
        <GroupPartyAlias>נתבעים</GroupPartyAlias>
        <IsConverted>false</IsConverted>
        <LegalEntityNameID>95919172</LegalEntityNameID>
        <RepresentatedNamesOfAssistant/>
        <LegalEntityTypeID>1</LegalEntityTypeID>
        <IsVerdictExists>false</IsVerdictExists>
        <IsAsirAzir>false</IsAsirAzir>
        <MainAndSecSpec/>
        <IsPublicationProhibited>false</IsPublicationProhibited>
        <PublicationProhibitedFullName>עו"ד חנן עזרן (נאמן)</PublicationProhibitedFullName>
      </CaseParties>
    </CasePartiesSelectionDS>
    <DecisionName>החלטה  שניתנה ע"י  הילה אוחיון גליקסמן</DecisionName>
    <CourtDisplayName>בית משפט לענייני משפחה באשדוד</CourtDisplayName>
    <IsCaseJudgePanel>false</IsCaseJudgePanel>
    <DecisionSignatureDate>2024-10-14T23:26:42.9401224+03:00</DecisionSignatureDate>
    <OpenCaseDate>2023-05-04T12:48:00+03:00</OpenCaseDate>
    <CaseFeeSum>0.000</CaseFeeSum>
    <DecisionTypeID>1</DecisionTypeID>
    <DecisionSignatureUserName>הילה אוחיון גליקסמן</DecisionSignatureUserName>
    <DecisionSignatureDateHebrew>2024-10-14T23:26:42.9401224+03:00</DecisionSignatureDateHebrew>
    <DecisionWriterID>039599873@GOV.IL</DecisionWriterID>
    <CourtAddress>רח' מורדי הגטאות רובע ב', אשדוד 77370</CourtAddress>
    <IsAutoTextInCaseExist>false</IsAutoTextInCaseExist>
    <DecisionSignatureRoleName>שופט</DecisionSignatureRoleName>
    <DecisionSignatureUserTitleName>שופטת</DecisionSignatureUserTitleName>
    <CaseName>כוכבי נ' כוכבי ואח'</CaseName>
    <DecisionNumberInCase>17</DecisionNumberInCase>
  </dt_Decision>
  <dt_DecisionCase>
    <DecisionID>0</DecisionID>
    <CaseID>80221677</CaseID>
    <CaseJudicialPersonPresentationDS>
      <CaseJudicalPersonActive>
        <CaseID>80221677</CaseID>
        <JudicialPersonID>039599873@GOV.IL</JudicialPersonID>
        <JudicialPersonTypeID>1</JudicialPersonTypeID>
        <JudicialTypeID>1</JudicialTypeID>
        <IsChairman>false</IsChairman>
        <TreatmentStartDate>2024-07-01T09:28:58.107+03:00</TreatmentStartDate>
        <TreatmentFinishDate>9999-12-31T23:59:59.997+02:00</TreatmentFinishDate>
        <IdentificationCardNumber>039599873</IdentificationCardNumber>
        <DisplayName>הילה אוחיון גליקסמן</DisplayName>
        <JudicialTypeName>שופט</JudicialTypeName>
        <CaseJudicialGroupNumber>0</CaseJudicialGroupNumber>
        <FirstName>הילה</FirstName>
        <LastName>אוחיון גליקסמן</LastName>
        <JudicialPersonTitle>שופט</JudicialPersonTitle>
      </CaseJudicalPersonActive>
    </CaseJudicialPersonPresentationDS>
    <CasePartiesSelectionDS>
      <CaseParties>
        <PartyTypeName>בא כוח</PartyTypeName>
        <ProceedingType>כתב טענות עיקרי</ProceedingType>
        <PleaName>כתב תביעה</PleaName>
        <PartyBelonging> - </PartyBelonging>
        <RoleName>בא כוח תובעים</RoleName>
        <IsSubProceeding>FALSE</IsSubProceeding>
        <FullName>יפעת בן-אבי בראון</FullName>
        <FirstName>יפעת</FirstName>
        <LastName>בן-אבי בראון</LastName>
        <PartyPropertyName/>
        <AuthenticationTypeAndNumber>מ.ר. 49953</AuthenticationTypeAndNumber>
        <RepresentatedOrRepresentativesNames>רויטל כוכבי</RepresentatedOrRepresentativesNames>
        <RepresentatedOrRepresentativesCount>1</RepresentatedOrRepresentativesCount>
        <InvitedBy/>
        <CaseID>80221677</CaseID>
        <CaseJudicialPersonPresentationDS>
          <CaseJudicalPersonActive>
            <CaseID>80221677</CaseID>
            <JudicialPersonID>039599873@GOV.IL</JudicialPersonID>
            <JudicialPersonTypeID>1</JudicialPersonTypeID>
            <JudicialTypeID>1</JudicialTypeID>
            <IsChairman>false</IsChairman>
            <TreatmentStartDate>2024-07-01T09:28:58.107+03:00</TreatmentStartDate>
            <TreatmentFinishDate>9999-12-31T23:59:59.997+02:00</TreatmentFinishDate>
            <IdentificationCardNumber>039599873</IdentificationCardNumber>
            <DisplayName>הילה אוחיון גליקסמן</DisplayName>
            <JudicialTypeName>שופט</JudicialTypeName>
            <CaseJudicialGroupNumber>0</CaseJudicialGroupNumber>
            <FirstName>הילה</FirstName>
            <LastName>אוחיון גליקסמן</LastName>
            <JudicialPersonTitle>שופט</JudicialPersonTitle>
          </CaseJudicalPersonActive>
        </CaseJudicialPersonPresentationDS>
        <CasePartyID>272645412</CasePartyID>
        <PartyTypeID>2</PartyTypeID>
        <ActivityStatusID>1</ActivityStatusID>
        <PartyAliasID>20</PartyAliasID>
        <PartyAliasName>בא כוח תובעים</PartyAliasName>
        <LegalEntityID>7538994</LegalEntityID>
        <CaseLegalEntityID>129630696</CaseLegalEntityID>
        <AuthenticationTypeID>4</AuthenticationTypeID>
        <AuthenticationTypeName>מ.ר.</AuthenticationTypeName>
        <LegalEntityNumber>49953</LegalEntityNumber>
        <IsMainPartyType>true</IsMainPartyType>
        <CaseDisplayIdentifier>12436-05-23</CaseDisplayIdentifier>
        <CaseTypeID>10262</CaseTypeID>
        <CaseTypeName>תביעה לאחר הסדר התדיינויות במשפחה (תלה"מ)</CaseTypeName>
        <CaseName>כוכבי נ' כוכבי ואח'</CaseName>
        <FullAddress>הראשונים 26 אשדוד ת.ד 895</FullAddress>
        <EmailAddress>yifat.bab.law@gmail.com</EmailAddress>
        <MotionID>0</MotionID>
        <CasePleaID>0</CasePleaID>
        <LinkedCaseID>0</LinkedCaseID>
        <PartyID>1</PartyID>
        <CasePartyCategoryID>2</CasePartyCategoryID>
        <LegalEntityAddressID>73010731</LegalEntityAddressID>
        <LegalEntityEmailAddressID>68061652</LegalEntityEmailAddressID>
        <PleaTypeID>4</PleaTypeID>
        <LawyerOfficeName>משרד עו"ד יפעת בן-אבי בראון</LawyerOfficeName>
        <LawyerOfficeID>7538995</LawyerOfficeID>
        <GroupPartyAlias/>
        <IsConverted>false</IsConverted>
        <LegalEntityNameID>7194966</LegalEntityNameID>
        <RepresentatedNamesOfAssistant/>
        <LegalEntityTypeID>4</LegalEntityTypeID>
        <IsVerdictExists>false</IsVerdictExists>
        <IsAsirAzir>false</IsAsirAzir>
        <MainAndSecSpec/>
        <IsPublicationProhibited>false</IsPublicationProhibited>
        <PublicationProhibitedFullName>יפעת בן-אבי בראון</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מרדכי האן מרקוביץ</FullName>
        <FirstName>מרדכי</FirstName>
        <LastName>האן מרקוביץ</LastName>
        <PartyPropertyName/>
        <AuthenticationTypeAndNumber>מ.ר. 12970</AuthenticationTypeAndNumber>
        <RepresentatedOrRepresentativesNames>עו"ד חנן עזרן</RepresentatedOrRepresentativesNames>
        <RepresentatedOrRepresentativesCount>1</RepresentatedOrRepresentativesCount>
        <InvitedBy/>
        <CaseID>80221677</CaseID>
        <CaseJudicialPersonPresentationDS>
          <CaseJudicalPersonActive>
            <CaseID>80221677</CaseID>
            <JudicialPersonID>039599873@GOV.IL</JudicialPersonID>
            <JudicialPersonTypeID>1</JudicialPersonTypeID>
            <JudicialTypeID>1</JudicialTypeID>
            <IsChairman>false</IsChairman>
            <TreatmentStartDate>2024-07-01T09:28:58.107+03:00</TreatmentStartDate>
            <TreatmentFinishDate>9999-12-31T23:59:59.997+02:00</TreatmentFinishDate>
            <IdentificationCardNumber>039599873</IdentificationCardNumber>
            <DisplayName>הילה אוחיון גליקסמן</DisplayName>
            <JudicialTypeName>שופט</JudicialTypeName>
            <CaseJudicialGroupNumber>0</CaseJudicialGroupNumber>
            <FirstName>הילה</FirstName>
            <LastName>אוחיון גליקסמן</LastName>
            <JudicialPersonTitle>שופט</JudicialPersonTitle>
          </CaseJudicalPersonActive>
        </CaseJudicialPersonPresentationDS>
        <CasePartyID>264421195</CasePartyID>
        <PartyTypeID>2</PartyTypeID>
        <ActivityStatusID>1</ActivityStatusID>
        <PartyAliasID>21</PartyAliasID>
        <PartyAliasName>בא כוח נתבעים</PartyAliasName>
        <LegalEntityID>381244</LegalEntityID>
        <CaseLegalEntityID>127199246</CaseLegalEntityID>
        <AuthenticationTypeID>4</AuthenticationTypeID>
        <AuthenticationTypeName>מ.ר.</AuthenticationTypeName>
        <LegalEntityNumber>12970</LegalEntityNumber>
        <IsMainPartyType>true</IsMainPartyType>
        <CaseDisplayIdentifier>12436-05-23</CaseDisplayIdentifier>
        <CaseTypeID>10262</CaseTypeID>
        <CaseTypeName>תביעה לאחר הסדר התדיינויות במשפחה (תלה"מ)</CaseTypeName>
        <CaseName>כוכבי נ' כוכבי ואח'</CaseName>
        <FullAddress>ויצמן 102 כפר סבא </FullAddress>
        <MotionID>0</MotionID>
        <CasePleaID>0</CasePleaID>
        <LinkedCaseID>0</LinkedCaseID>
        <PartyID>2</PartyID>
        <CasePartyCategoryID>2</CasePartyCategoryID>
        <LegalEntityAddressID>73914151</LegalEntityAddressID>
        <PleaTypeID>4</PleaTypeID>
        <LawyerOfficeName>גלר האן מרקוביץ ושות' - משרד עו"ד</LawyerOfficeName>
        <LawyerOfficeID>419053</LawyerOfficeID>
        <GroupPartyAlias/>
        <IsConverted>false</IsConverted>
        <LegalEntityNameID>2228</LegalEntityNameID>
        <RepresentatedNamesOfAssistant/>
        <LegalEntityTypeID>4</LegalEntityTypeID>
        <IsVerdictExists>false</IsVerdictExists>
        <IsAsirAzir>false</IsAsirAzir>
        <MainAndSecSpec/>
        <IsPublicationProhibited>false</IsPublicationProhibited>
        <PublicationProhibitedFullName>מרדכי האן מרקוביץ</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אירית גולי אליהשר</FullName>
        <FirstName>אירית גולי</FirstName>
        <LastName>אליהשר</LastName>
        <PartyPropertyName/>
        <AuthenticationTypeAndNumber>מ.ר. 53020</AuthenticationTypeAndNumber>
        <RepresentatedOrRepresentativesNames>רויטל כוכבי</RepresentatedOrRepresentativesNames>
        <RepresentatedOrRepresentativesCount>1</RepresentatedOrRepresentativesCount>
        <InvitedBy/>
        <CaseID>80221677</CaseID>
        <CaseJudicialPersonPresentationDS>
          <CaseJudicalPersonActive>
            <CaseID>80221677</CaseID>
            <JudicialPersonID>039599873@GOV.IL</JudicialPersonID>
            <JudicialPersonTypeID>1</JudicialPersonTypeID>
            <JudicialTypeID>1</JudicialTypeID>
            <IsChairman>false</IsChairman>
            <TreatmentStartDate>2024-07-01T09:28:58.107+03:00</TreatmentStartDate>
            <TreatmentFinishDate>9999-12-31T23:59:59.997+02:00</TreatmentFinishDate>
            <IdentificationCardNumber>039599873</IdentificationCardNumber>
            <DisplayName>הילה אוחיון גליקסמן</DisplayName>
            <JudicialTypeName>שופט</JudicialTypeName>
            <CaseJudicialGroupNumber>0</CaseJudicialGroupNumber>
            <FirstName>הילה</FirstName>
            <LastName>אוחיון גליקסמן</LastName>
            <JudicialPersonTitle>שופט</JudicialPersonTitle>
          </CaseJudicalPersonActive>
        </CaseJudicialPersonPresentationDS>
        <CasePartyID>255210947</CasePartyID>
        <PartyTypeID>2</PartyTypeID>
        <ActivityStatusID>1</ActivityStatusID>
        <PartyAliasID>20</PartyAliasID>
        <PartyAliasName>בא כוח תובעים</PartyAliasName>
        <OrdinalNumber>1</OrdinalNumber>
        <LegalEntityID>33128153</LegalEntityID>
        <CaseLegalEntityID>124204042</CaseLegalEntityID>
        <AuthenticationTypeID>4</AuthenticationTypeID>
        <AuthenticationTypeName>מ.ר.</AuthenticationTypeName>
        <LegalEntityNumber>53020</LegalEntityNumber>
        <IsMainPartyType>true</IsMainPartyType>
        <CaseDisplayIdentifier>12436-05-23</CaseDisplayIdentifier>
        <CaseTypeID>10262</CaseTypeID>
        <CaseTypeName>תביעה לאחר הסדר התדיינויות במשפחה (תלה"מ)</CaseTypeName>
        <CaseName>כוכבי נ' כוכבי ואח'</CaseName>
        <FullAddress>שד' פז 2/23 קריית גת בניין גילת קומה 2</FullAddress>
        <MotionID>0</MotionID>
        <CasePleaID>0</CasePleaID>
        <LinkedCaseID>0</LinkedCaseID>
        <PartyID>1</PartyID>
        <CasePartyCategoryID>2</CasePartyCategoryID>
        <LegalEntityAddressID>74545410</LegalEntityAddressID>
        <PleaTypeID>4</PleaTypeID>
        <LawyerOfficeName>משרד עו"ד אירית גולי אליהשר</LawyerOfficeName>
        <LawyerOfficeID>33128154</LawyerOfficeID>
        <GroupPartyAlias/>
        <IsConverted>false</IsConverted>
        <LegalEntityNameID>34918524</LegalEntityNameID>
        <RepresentatedNamesOfAssistant/>
        <LegalEntityTypeID>4</LegalEntityTypeID>
        <IsVerdictExists>false</IsVerdictExists>
        <IsAsirAzir>false</IsAsirAzir>
        <MainAndSecSpec/>
        <IsPublicationProhibited>false</IsPublicationProhibited>
        <PublicationProhibitedFullName>אירית גולי אליהשר</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רויטל כוכבי</FullName>
        <FirstName>רויטל</FirstName>
        <LastName>כוכבי</LastName>
        <PartyPropertyName/>
        <AuthenticationTypeAndNumber>ת"ז 029030319</AuthenticationTypeAndNumber>
        <RepresentatedOrRepresentativesNames>אירית גולי אליהשר, יפעת בן-אבי בראון</RepresentatedOrRepresentativesNames>
        <RepresentatedOrRepresentativesCount>2</RepresentatedOrRepresentativesCount>
        <InvitedBy/>
        <CaseID>80221677</CaseID>
        <CaseJudicialPersonPresentationDS>
          <CaseJudicalPersonActive>
            <CaseID>80221677</CaseID>
            <JudicialPersonID>039599873@GOV.IL</JudicialPersonID>
            <JudicialPersonTypeID>1</JudicialPersonTypeID>
            <JudicialTypeID>1</JudicialTypeID>
            <IsChairman>false</IsChairman>
            <TreatmentStartDate>2024-07-01T09:28:58.107+03:00</TreatmentStartDate>
            <TreatmentFinishDate>9999-12-31T23:59:59.997+02:00</TreatmentFinishDate>
            <IdentificationCardNumber>039599873</IdentificationCardNumber>
            <DisplayName>הילה אוחיון גליקסמן</DisplayName>
            <JudicialTypeName>שופט</JudicialTypeName>
            <CaseJudicialGroupNumber>0</CaseJudicialGroupNumber>
            <FirstName>הילה</FirstName>
            <LastName>אוחיון גליקסמן</LastName>
            <JudicialPersonTitle>שופט</JudicialPersonTitle>
          </CaseJudicalPersonActive>
        </CaseJudicialPersonPresentationDS>
        <CasePartyID>255210946</CasePartyID>
        <PartyTypeID>1</PartyTypeID>
        <ActivityStatusID>1</ActivityStatusID>
        <PartyAliasID>1</PartyAliasID>
        <PartyAliasName>תובע</PartyAliasName>
        <OrdinalNumber>1</OrdinalNumber>
        <LegalEntityID>34376517</LegalEntityID>
        <CaseLegalEntityID>124204041</CaseLegalEntityID>
        <AuthenticationTypeID>1</AuthenticationTypeID>
        <AuthenticationTypeName>ת"ז</AuthenticationTypeName>
        <LegalEntityNumber>029030319</LegalEntityNumber>
        <IsMainPartyType>true</IsMainPartyType>
        <CaseDisplayIdentifier>12436-05-23</CaseDisplayIdentifier>
        <CaseTypeID>10262</CaseTypeID>
        <CaseTypeName>תביעה לאחר הסדר התדיינויות במשפחה (תלה"מ)</CaseTypeName>
        <CaseName>כוכבי נ' כוכבי ואח'</CaseName>
        <FullAddress>שבט יששכר 1/21 אשדוד </FullAddress>
        <MotionID>0</MotionID>
        <CasePleaID>0</CasePleaID>
        <FatherName>יוסף</FatherName>
        <LinkedCaseID>0</LinkedCaseID>
        <PartyID>1</PartyID>
        <CasePartyCategoryID>2</CasePartyCategoryID>
        <LegalEntityAddressID>87868186</LegalEntityAddressID>
        <GrandfatherName/>
        <DrivingLicenseNumber>6355506</DrivingLicenseNumber>
        <PleaTypeID>4</PleaTypeID>
        <GroupPartyAlias>תובעים</GroupPartyAlias>
        <IsConverted>false</IsConverted>
        <LegalEntityRegisteredNameID>2258494</LegalEntityRegisteredNameID>
        <LegalEntityNameID>94806701</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רויטל כוכבי</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משה כוכבי</FullName>
        <FirstName>משה</FirstName>
        <LastName>כוכבי</LastName>
        <PartyPropertyName/>
        <AuthenticationTypeAndNumber>ת"ז 022477327</AuthenticationTypeAndNumber>
        <RepresentatedOrRepresentativesNames/>
        <RepresentatedOrRepresentativesCount>0</RepresentatedOrRepresentativesCount>
        <InvitedBy/>
        <CaseID>80221677</CaseID>
        <CaseJudicialPersonPresentationDS>
          <CaseJudicalPersonActive>
            <CaseID>80221677</CaseID>
            <JudicialPersonID>039599873@GOV.IL</JudicialPersonID>
            <JudicialPersonTypeID>1</JudicialPersonTypeID>
            <JudicialTypeID>1</JudicialTypeID>
            <IsChairman>false</IsChairman>
            <TreatmentStartDate>2024-07-01T09:28:58.107+03:00</TreatmentStartDate>
            <TreatmentFinishDate>9999-12-31T23:59:59.997+02:00</TreatmentFinishDate>
            <IdentificationCardNumber>039599873</IdentificationCardNumber>
            <DisplayName>הילה אוחיון גליקסמן</DisplayName>
            <JudicialTypeName>שופט</JudicialTypeName>
            <CaseJudicialGroupNumber>0</CaseJudicialGroupNumber>
            <FirstName>הילה</FirstName>
            <LastName>אוחיון גליקסמן</LastName>
            <JudicialPersonTitle>שופט</JudicialPersonTitle>
          </CaseJudicalPersonActive>
        </CaseJudicialPersonPresentationDS>
        <CasePartyID>255210948</CasePartyID>
        <PartyTypeID>1</PartyTypeID>
        <ActivityStatusID>1</ActivityStatusID>
        <PartyAliasID>2</PartyAliasID>
        <PartyAliasName>נתבע</PartyAliasName>
        <OrdinalNumber>1</OrdinalNumber>
        <LegalEntityID>34348132</LegalEntityID>
        <CaseLegalEntityID>124204043</CaseLegalEntityID>
        <AuthenticationTypeID>1</AuthenticationTypeID>
        <AuthenticationTypeName>ת"ז</AuthenticationTypeName>
        <LegalEntityNumber>022477327</LegalEntityNumber>
        <IsMainPartyType>true</IsMainPartyType>
        <CaseDisplayIdentifier>12436-05-23</CaseDisplayIdentifier>
        <CaseTypeID>10262</CaseTypeID>
        <CaseTypeName>תביעה לאחר הסדר התדיינויות במשפחה (תלה"מ)</CaseTypeName>
        <CaseName>כוכבי נ' כוכבי ואח'</CaseName>
        <FullAddress>אברהם עופר 1/17 אשדוד </FullAddress>
        <MotionID>0</MotionID>
        <CasePleaID>0</CasePleaID>
        <FatherName>דניאל</FatherName>
        <LinkedCaseID>0</LinkedCaseID>
        <PartyID>2</PartyID>
        <CasePartyCategoryID>2</CasePartyCategoryID>
        <LegalEntityAddressID>87868187</LegalEntityAddressID>
        <PleaTypeID>4</PleaTypeID>
        <GroupPartyAlias>נתבעים</GroupPartyAlias>
        <IsConverted>false</IsConverted>
        <LegalEntityRegisteredNameID>6381810</LegalEntityRegisteredNameID>
        <LegalEntityNameID>94806702</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משה כוכבי</PublicationProhibitedFullName>
      </CaseParties>
      <CaseParties>
        <PartyTypeName>צד</PartyTypeName>
        <ProceedingType>כתב טענות עיקרי</ProceedingType>
        <PleaName>כתב תביעה</PleaName>
        <PartyBelonging>צד ב'</PartyBelonging>
        <RoleName>נתבע 2</RoleName>
        <IsSubProceeding>FALSE</IsSubProceeding>
        <FullName>עו"ד חנן עזרן (נאמן)</FullName>
        <FirstName>עו"ד חנן</FirstName>
        <LastName>עזרן</LastName>
        <PartyPropertyID>15</PartyPropertyID>
        <PartyPropertyName/>
        <AuthenticationTypeAndNumber>ת"ז </AuthenticationTypeAndNumber>
        <RepresentatedOrRepresentativesNames>מרדכי האן מרקוביץ</RepresentatedOrRepresentativesNames>
        <RepresentatedOrRepresentativesCount>1</RepresentatedOrRepresentativesCount>
        <InvitedBy/>
        <CaseID>80221677</CaseID>
        <CaseJudicialPersonPresentationDS>
          <CaseJudicalPersonActive>
            <CaseID>80221677</CaseID>
            <JudicialPersonID>039599873@GOV.IL</JudicialPersonID>
            <JudicialPersonTypeID>1</JudicialPersonTypeID>
            <JudicialTypeID>1</JudicialTypeID>
            <IsChairman>false</IsChairman>
            <TreatmentStartDate>2024-07-01T09:28:58.107+03:00</TreatmentStartDate>
            <TreatmentFinishDate>9999-12-31T23:59:59.997+02:00</TreatmentFinishDate>
            <IdentificationCardNumber>039599873</IdentificationCardNumber>
            <DisplayName>הילה אוחיון גליקסמן</DisplayName>
            <JudicialTypeName>שופט</JudicialTypeName>
            <CaseJudicialGroupNumber>0</CaseJudicialGroupNumber>
            <FirstName>הילה</FirstName>
            <LastName>אוחיון גליקסמן</LastName>
            <JudicialPersonTitle>שופט</JudicialPersonTitle>
          </CaseJudicalPersonActive>
        </CaseJudicialPersonPresentationDS>
        <CasePartyID>264262790</CasePartyID>
        <PartyTypeID>1</PartyTypeID>
        <ActivityStatusID>1</ActivityStatusID>
        <PartyAliasID>2</PartyAliasID>
        <PartyAliasName>נתבע</PartyAliasName>
        <OrdinalNumber>2</OrdinalNumber>
        <LegalEntityID>81638655</LegalEntityID>
        <CaseLegalEntityID>127154772</CaseLegalEntityID>
        <AuthenticationTypeID>1</AuthenticationTypeID>
        <AuthenticationTypeName>ת"ז</AuthenticationTypeName>
        <IsMainPartyType>true</IsMainPartyType>
        <CaseDisplayIdentifier>12436-05-23</CaseDisplayIdentifier>
        <CaseTypeID>10262</CaseTypeID>
        <CaseTypeName>תביעה לאחר הסדר התדיינויות במשפחה (תלה"מ)</CaseTypeName>
        <CaseName>כוכבי נ' כוכבי ואח'</CaseName>
        <FullAddress/>
        <MotionID>0</MotionID>
        <CasePleaID>0</CasePleaID>
        <LinkedCaseID>0</LinkedCaseID>
        <PartyID>2</PartyID>
        <CasePartyCategoryID>2</CasePartyCategoryID>
        <PleaTypeID>4</PleaTypeID>
        <GroupPartyAlias>נתבעים</GroupPartyAlias>
        <IsConverted>false</IsConverted>
        <LegalEntityNameID>95919172</LegalEntityNameID>
        <RepresentatedNamesOfAssistant/>
        <LegalEntityTypeID>1</LegalEntityTypeID>
        <IsVerdictExists>false</IsVerdictExists>
        <IsAsirAzir>false</IsAsirAzir>
        <MainAndSecSpec/>
        <IsPublicationProhibited>false</IsPublicationProhibited>
        <PublicationProhibitedFullName>עו"ד חנן עזרן (נאמן)</PublicationProhibitedFullName>
      </CaseParties>
    </CasePartiesSelectionDS>
    <CaseName>כוכבי נ' כוכבי ואח'</CaseName>
    <CaseDisplayIdentifier>12436-05-23</CaseDisplayIdentifier>
    <CaseInterestID>10513</CaseInterestID>
    <CaseTypeShortName>תלה"מ</CaseTypeShortName>
  </dt_DecisionCase>
  <dt_DecisionJudgePanel>
    <JudgeID>039599873@GOV.IL</JudgeID>
    <DisplayName>הילה אוחיון גליקסמן</DisplayName>
    <RoleName>שופט</RoleName>
    <UserTitleName>שופטת</UserTitleName>
  </dt_DecisionJudgePanel>
  <dt_LegalEntityDetails>
    <Fax>09-7672920</Fax>
    <Phone>09-7658750</Phone>
    <PartyID>2</PartyID>
    <PartyTypeID>2</PartyTypeID>
    <DecisionID>0</DecisionID>
    <StreetName>ויצמן 102</StreetName>
    <ZipCode>44460</ZipCode>
    <CityName>כפר סבא</CityName>
    <FullName>מרדכי האן מרקוביץ</FullName>
    <IsPublicationProhibited>false</IsPublicationProhibited>
  </dt_LegalEntityDetails>
  <dt_LegalEntityDetails>
    <Fax>08-8534799</Fax>
    <Phone>08-8534794</Phone>
    <AddressDesc>ת.ד 895</AddressDesc>
    <PartyID>1</PartyID>
    <PartyTypeID>2</PartyTypeID>
    <DecisionID>0</DecisionID>
    <StreetName>הראשונים 26</StreetName>
    <CityName>אשדוד</CityName>
    <FullName>יפעת בן-אבי בראון</FullName>
    <Email>yifat.bab.law@gmail.com</Email>
    <IsPublicationProhibited>false</IsPublicationProhibited>
  </dt_LegalEntityDetails>
  <dt_LegalEntityDetails>
    <PartyID>1</PartyID>
    <PartyTypeID>1</PartyTypeID>
    <DecisionID>0</DecisionID>
    <StreetName>שבט יששכר 1/21</StreetName>
    <CityName>אשדוד</CityName>
    <FullName>רויטל כוכבי</FullName>
    <IsPublicationProhibited>false</IsPublicationProhibited>
  </dt_LegalEntityDetails>
  <dt_LegalEntityDetails>
    <Fax>08-6443772</Fax>
    <Phone>08-6443771</Phone>
    <AddressDesc>בניין גילת קומה 2</AddressDesc>
    <PartyID>1</PartyID>
    <PartyTypeID>2</PartyTypeID>
    <DecisionID>0</DecisionID>
    <StreetName>שד' פז 2/23</StreetName>
    <ZipCode>82202</ZipCode>
    <CityName>קריית גת</CityName>
    <FullName>אירית גולי אליהשר</FullName>
    <Email>sij.lawoffice@gmail.com</Email>
    <IsPublicationProhibited>false</IsPublicationProhibited>
  </dt_LegalEntityDetails>
  <dt_LegalEntityDetails>
    <PartyID>2</PartyID>
    <PartyTypeID>1</PartyTypeID>
    <DecisionID>0</DecisionID>
    <StreetName>אברהם עופר 1/17</StreetName>
    <CityName>אשדוד</CityName>
    <FullName>משה כוכבי</FullName>
    <IsPublicationProhibited>false</IsPublicationProhibited>
  </dt_LegalEntityDetails>
  <dt_LegalEntityDetails>
    <PartyID>2</PartyID>
    <PartyTypeID>1</PartyTypeID>
    <DecisionID>0</DecisionID>
    <FullName>עו"ד חנן  עזרן</FullName>
    <IsPublicationProhibited>false</IsPublicationProhibited>
  </dt_LegalEntityDetails>
  <dt_CaseJudicalPersonActive>
    <CaseJudicalPerson>שופטת הילה אוחיון גליקסמן</CaseJudicalPerson>
  </dt_CaseJudicalPersonActive>
  <dt_Sitting>
    <PreviousMeetingDate>2024-09-19T10:00:00+03:00</PreviousMeetingDate>
    <PreviousSittingTypeID>1</PreviousSittingTypeID>
    <PreviousMeetingDisplayName>שופטת הילה אוחיון גליקסמן</PreviousMeetingDisplayName>
    <PreviousMeetingRoleName>שופט</PreviousMeetingRoleName>
    <PreviousMeetingUserTitleName>שופטת</PreviousMeetingUserTitleName>
    <PreviousMeetingUserUPN>039599873@GOV.IL</PreviousMeetingUserUPN>
  </dt_Sitting>
</DecisionTemplateD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ED9467-6634-4447-9F66-C8EB74CB0FBB}">
  <ds:schemaRefs/>
</ds:datastoreItem>
</file>

<file path=customXml/itemProps2.xml><?xml version="1.0" encoding="utf-8"?>
<ds:datastoreItem xmlns:ds="http://schemas.openxmlformats.org/officeDocument/2006/customXml" ds:itemID="{6B647FBA-1D70-4A53-90BA-97FF5879FF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2795</Words>
  <Characters>13976</Characters>
  <Application>Microsoft Office Word</Application>
  <DocSecurity>0</DocSecurity>
  <Lines>116</Lines>
  <Paragraphs>33</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16738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2024-11-03T07:18:00Z</dcterms:created>
  <dcterms:modified xsi:type="dcterms:W3CDTF">2024-11-03T07:18:00Z</dcterms:modified>
</cp:coreProperties>
</file>